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03 Technical requirements</w:t>
      </w:r>
    </w:p>
    <w:p>
      <w:pPr>
        <w:pStyle w:val="Subtitle"/>
      </w:pPr>
      <w:r>
        <w:rPr>
          <w:color w:val="000000"/>
        </w:rPr>
        <w:t>TRD v0.3  Reference design and implementation contracts</w:t>
      </w:r>
    </w:p>
    <w:p>
      <w:r>
        <w:rPr>
          <w:b/>
          <w:color w:val="B5631D"/>
          <w:sz w:val="17"/>
        </w:rPr>
        <w:t>DRAFT v0.3  Updated 9 October 2026  Independent source review pending</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pPr>
              <w:spacing w:after="20"/>
            </w:pPr>
            <w:r>
              <w:rPr>
                <w:sz w:val="16"/>
              </w:rPr>
              <w:t>Claim validation and fail-closed renderer</w:t>
            </w:r>
          </w:p>
        </w:tc>
      </w:tr>
      <w:tr>
        <w:trPr>
          <w:cantSplit/>
        </w:trPr>
        <w:tc>
          <w:tcPr>
            <w:tcW w:type="dxa" w:w="3341"/>
            <w:vAlign w:val="center"/>
          </w:tcPr>
          <w:p>
            <w:pPr>
              <w:spacing w:after="20"/>
            </w:pPr>
            <w:r>
              <w:rPr>
                <w:sz w:val="16"/>
              </w:rPr>
              <w:t>State machine</w:t>
            </w:r>
          </w:p>
        </w:tc>
        <w:tc>
          <w:tcPr>
            <w:tcW w:type="dxa" w:w="3341"/>
            <w:vAlign w:val="center"/>
          </w:tcPr>
          <w:p>
            <w:pPr>
              <w:spacing w:after="20"/>
            </w:pPr>
            <w:r>
              <w:rPr>
                <w:sz w:val="16"/>
              </w:rPr>
              <w:t>Next eligible, documented diagnostic branch</w:t>
            </w:r>
          </w:p>
        </w:tc>
        <w:tc>
          <w:tcPr>
            <w:tcW w:type="dxa" w:w="3341"/>
            <w:vAlign w:val="center"/>
          </w:tcPr>
          <w:p>
            <w:pPr>
              <w:spacing w:after="20"/>
            </w:pPr>
            <w:r>
              <w:rPr>
                <w:sz w:val="16"/>
              </w:rPr>
              <w:t>OEM referral if no valid path remains</w:t>
            </w:r>
          </w:p>
        </w:tc>
      </w:tr>
    </w:tbl>
    <w:p>
      <w:pPr>
        <w:spacing w:after="0"/>
      </w:pPr>
    </w:p>
    <w:p>
      <w:pPr>
        <w:pStyle w:val="Heading1"/>
      </w:pPr>
      <w:r>
        <w:rPr>
          <w:color w:val="000000"/>
        </w:rPr>
        <w:t>2  Offline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DiagnosticSession</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evidence_ids, required_evidence_ids, attached_evidence_ids, missing_evidence_ids, dependency_manifest_version, dependency_review_status, conflicts, missing_conditions, applicability_status, sufficiency_status</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natural_language, claim_evidence_map, cited_pages, suggested_step_id, clarification_question, escalation_uri, trace_id</w:t>
            </w:r>
          </w:p>
        </w:tc>
      </w:tr>
      <w:tr>
        <w:trPr>
          <w:cantSplit/>
        </w:trPr>
        <w:tc>
          <w:tcPr>
            <w:tcW w:type="dxa" w:w="5011"/>
            <w:vAlign w:val="center"/>
          </w:tcPr>
          <w:p>
            <w:pPr>
              <w:spacing w:after="20"/>
            </w:pPr>
            <w:r>
              <w:rPr>
                <w:sz w:val="16"/>
              </w:rPr>
              <w:t>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bl>
    <w:p>
      <w:pPr>
        <w:spacing w:after="0"/>
      </w:pPr>
    </w:p>
    <w:p>
      <w:pPr>
        <w:pStyle w:val="Heading1"/>
      </w:pPr>
      <w:r>
        <w:rPr>
          <w:color w:val="000000"/>
        </w:rPr>
        <w:t>4  Retrieval + evidence assembly contract</w:t>
      </w:r>
    </w:p>
    <w:p>
      <w:r>
        <w:t>First-stage dense retrieval uses cosine similarity or the embedding model’s native recommended metric to rank candidate chunks. Sparse retrieval handles exact warning labels, component codes and units. Fuse rankings with Reciprocal Rank Fusion, optionally apply a cross-encoder to top candidates, then attach parent procedures and verified graph neighbors.</w:t>
      </w:r>
    </w:p>
    <w:p>
      <w:r>
        <w:t>Candidate settings are starting hypotheses: dense top-20, sparse top-20; fused top-15; rerank top-10; expand 1–2 verified graph hops. Tune via the golden set, not intuition.</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evidence remains incomplete, permit at most one query reformulation/expansion before clarifying or abstaining; record what was searched</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each searchable child chunk to its full parent procedure or section and build a reviewed dependency manifest for every actionable step. The manifest identifies the action spans, applicability conditions, prerequisites, warnings, table headers and units, variant labels, and referenced figures or sections required to present that step. A section parent remains contextual evidence until its procedure and step boundaries have been reviewed.</w:t>
      </w:r>
    </w:p>
    <w:p>
      <w:pPr/>
      <w:r>
        <w:t>The assembler returns required_evidence_ids, attached_evidence_ids and missing_evidence_ids for the selected candidate, together with dependency_manifest_version and dependency_review_status. missing_evidence_ids is the required set minus the attached set. Coverage is complete only when the dependency manifest is approved for the exact manual checksum, the action evidence is present, all required objects are attached, and their content and provenance pass extraction checks. An empty or unreviewed required set cannot establish sufficiency. Finding a table object is insufficient if its required headers, units or variant context are missing.</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1"/>
      </w:pPr>
      <w:r>
        <w:rPr>
          <w:color w:val="000000"/>
        </w:rPr>
        <w:t>5  Diagnostic state machine and adaptive branching</w:t>
      </w:r>
    </w:p>
    <w:p>
      <w:r>
        <w:t>A deterministic controller stores the diagnostic session separately from the LLM chat transcript. The controller accepts typed feedback and selects eligible actions only from the verified procedure graph. Generation occurs after next-step selection, never before.</w:t>
      </w:r>
    </w:p>
    <w:p>
      <w:pPr>
        <w:pStyle w:val="Heading2"/>
      </w:pPr>
      <w:r>
        <w:rPr>
          <w:color w:val="000000"/>
        </w:rPr>
        <w:t>5 1 Reviewed step registry and rule authoring</w:t>
      </w:r>
    </w:p>
    <w:p>
      <w:pPr/>
      <w:r>
        <w:t>Create candidate StepDefinition and ApplicabilityRule records from the original owner manual during ingestion. A layout parser or model may propose the records, but an independent reviewer must check each action, condition, prerequisite, warning and stopping condition against the original pages before it becomes runtime-authorized. Record the reviewer, decision, source spans and registry version. Draft, rejected, stale or checksum-mismatched rules must not authorize an action or a cached answer.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An action becomes eligible only when the manual and variant match, the rule is approved, the symptom or documented branch applies, required conditions and prerequisites are true, no applicable safety rule prohibits it, and the attempt history allows it. Evaluate the evidence-completeness and answer-release gates separately before issuing technical text. A direct factual lookup uses the same applicability and evidence gates without fabricating a diagnostic step.</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jc w:val="center"/>
      </w:pPr>
      <w:r>
        <w:drawing>
          <wp:inline xmlns:a="http://schemas.openxmlformats.org/drawingml/2006/main" xmlns:pic="http://schemas.openxmlformats.org/drawingml/2006/picture">
            <wp:extent cx="5989320" cy="3051656"/>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3051656"/>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b/>
                <w:color w:val="FFFFFF"/>
                <w:sz w:val="16"/>
              </w:rPr>
              <w:t>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Evidence sufficiency and output validation</w:t>
      </w:r>
    </w:p>
    <w:p>
      <w:r>
        <w:t>Apply two layers: a deterministic rules gate (valid manual, cited evidence IDs, required dependencies, prerequisites/variant, no explicit conflict) plus a semantic support evaluator that compares each proposed technical claim against relevant source spans. Reject the draft if either layer fails.</w:t>
      </w:r>
    </w:p>
    <w:p>
      <w:pPr>
        <w:pStyle w:val="Heading2"/>
      </w:pPr>
      <w:r>
        <w:rPr>
          <w:color w:val="000000"/>
        </w:rPr>
        <w:t>6 1 Response routing and release</w:t>
      </w:r>
    </w:p>
    <w:p>
      <w:pPr/>
      <w:r>
        <w:t>The controller selects the response route from structured eligibility decisions, the evidence bundle and gate results. A known applicable stop condition yields SAFETY_STOP and retains its verified warning even if other processing fails. Otherwise, a required component failure yields SYSTEM_ERROR. A resolvable missing applicability fact or documented branch observation yields AMBIGUOUS and one focused question. After bounded recovery, an unsupported request, an unresolved source gap or exhausted documented paths yields UNSUPPORTED with the verified support route.</w:t>
      </w:r>
    </w:p>
    <w:p>
      <w:pPr/>
      <w:r>
        <w:t>SUPPORTED requires an eligible action or applicable factual answer, an approved and complete dependency set, valid citations, satisfied safety and prerequisite checks, and successful final claim validation. The controller may authorize generation of a draft after next-step selection; the final response is marked SUPPORTED only after both validation layers pass. Rejected drafts remain withheld. Retry within a bounded policy, then return SYSTEM_ERROR for generation/verification failure or UNSUPPORTED for an established source gap; never disguise a system failure as absence in the manual.</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pPr>
              <w:spacing w:after="20"/>
            </w:pPr>
            <w:r>
              <w:rPr>
                <w:sz w:val="16"/>
              </w:rPr>
              <w:t>Release a concise answer or eligible documented action only after applicability, dependency completeness, warnings, citations and final claim-to-source validation pass.</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pPr>
              <w:spacing w:after="20"/>
            </w:pPr>
            <w:r>
              <w:rPr>
                <w:sz w:val="16"/>
              </w:rPr>
              <w:t>POST /sessions/{id}/turns</w:t>
            </w:r>
          </w:p>
        </w:tc>
        <w:tc>
          <w:tcPr>
            <w:tcW w:type="dxa" w:w="3341"/>
            <w:vAlign w:val="center"/>
            <w:shd w:fill="F3F6FA"/>
          </w:tcPr>
          <w:p>
            <w:pPr>
              <w:spacing w:after="20"/>
            </w:pPr>
            <w:r>
              <w:rPr>
                <w:sz w:val="16"/>
              </w:rPr>
              <w:t>text; optional image; optional transcript; previous outcome</w:t>
            </w:r>
          </w:p>
        </w:tc>
        <w:tc>
          <w:tcPr>
            <w:tcW w:type="dxa" w:w="3341"/>
            <w:vAlign w:val="center"/>
            <w:shd w:fill="F3F6FA"/>
          </w:tcPr>
          <w:p>
            <w:pPr>
              <w:spacing w:after="20"/>
            </w:pPr>
            <w:r>
              <w:rPr>
                <w:sz w:val="16"/>
              </w:rPr>
              <w:t>ANSWER / CLARIFY / ABSTAIN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step_id, outcome_enum, observed_details</w:t>
            </w:r>
          </w:p>
        </w:tc>
        <w:tc>
          <w:tcPr>
            <w:tcW w:type="dxa" w:w="3341"/>
            <w:vAlign w:val="center"/>
          </w:tcPr>
          <w:p>
            <w:pPr>
              <w:spacing w:after="20"/>
            </w:pPr>
            <w:r>
              <w:rPr>
                <w:sz w:val="16"/>
              </w:rPr>
              <w:t>updated session version, next-turn eligibility</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pPr>
              <w:spacing w:after="20"/>
            </w:pPr>
            <w:r>
              <w:rPr>
                <w:sz w:val="16"/>
              </w:rPr>
              <w:t>safe text excerpt, page, diagram/table reference</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pPr>
              <w:spacing w:after="20"/>
            </w:pPr>
            <w:r>
              <w:rPr>
                <w:sz w:val="16"/>
              </w:rPr>
              <w:t>Exact procedure-path cache</w:t>
            </w:r>
          </w:p>
        </w:tc>
        <w:tc>
          <w:tcPr>
            <w:tcW w:type="dxa" w:w="3341"/>
            <w:vAlign w:val="center"/>
          </w:tcPr>
          <w:p>
            <w:pPr>
              <w:spacing w:after="20"/>
            </w:pPr>
            <w:r>
              <w:rPr>
                <w:sz w:val="16"/>
              </w:rPr>
              <w:t>Near-zero generation for repeats</w:t>
            </w:r>
          </w:p>
        </w:tc>
        <w:tc>
          <w:tcPr>
            <w:tcW w:type="dxa" w:w="3341"/>
            <w:vAlign w:val="center"/>
          </w:tcPr>
          <w:p>
            <w:pPr>
              <w:spacing w:after="20"/>
            </w:pPr>
            <w:r>
              <w:rPr>
                <w:sz w:val="16"/>
              </w:rPr>
              <w:t>Cache key includes manual checksum, relevant symptoms, typed outcomes, prompt version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pPr>
              <w:spacing w:after="20"/>
            </w:pPr>
            <w:r>
              <w:rPr>
                <w:sz w:val="16"/>
              </w:rPr>
              <w:t>Avoid extra inference when retrieval is clearly sufficient</w:t>
            </w:r>
          </w:p>
        </w:tc>
        <w:tc>
          <w:tcPr>
            <w:tcW w:type="dxa" w:w="3341"/>
            <w:vAlign w:val="center"/>
          </w:tcPr>
          <w:p>
            <w:pPr>
              <w:spacing w:after="20"/>
            </w:pPr>
            <w:r>
              <w:rPr>
                <w:sz w:val="16"/>
              </w:rPr>
              <w:t>Benchmark criterion on gold dataset</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Initial benchmarks: text warm p50 &lt;= 2.5 s and p95 &lt;= 5 s; photo p95 &lt;= 10 s; log cold start separately. Measure end-to-end and each stage with p50/p95 and cold/warm split. Provider pricing must be captured at deployment time rather than hardcoded.</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pPr>
              <w:spacing w:after="20"/>
            </w:pPr>
            <w:r>
              <w:rPr>
                <w:sz w:val="16"/>
              </w:rPr>
              <w:t>ranked_ids, verified_edges, added_dependencies,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retrieval outage -&gt; SYSTEM_ERROR; uncertain evidence -&gt; CLARIFY/ABSTAIN; unauthorized/manual mismatch -&gt; block</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Eligibility and assembly regression cases</w:t>
      </w:r>
    </w:p>
    <w:p>
      <w:pPr/>
      <w:r>
        <w:t>Include independently reviewed cases that verify rule provenance and expected eligibility decisions, in addition to retrieval relevance and answer wording. Record expected condition results, exclusion reasons, required evidence IDs, response route and allowed next step for each case.</w:t>
      </w:r>
    </w:p>
    <w:p>
      <w:pPr>
        <w:pStyle w:val="ListBullet"/>
      </w:pPr>
      <w:r>
        <w:t>TRUE, FALSE and UNKNOWN facts select, exclude or clarify the documented branch correctly; unknown facts and unresolved attempts never become normal observations.</w:t>
      </w:r>
    </w:p>
    <w:p>
      <w:pPr>
        <w:pStyle w:val="ListBullet"/>
      </w:pPr>
      <w:r>
        <w:t>Draft, stale, wrong-variant and checksum-mismatched step rules cannot authorize technical text or cache hits; every manual-derived predicate resolves to its reviewed source spans.</w:t>
      </w:r>
    </w:p>
    <w:p>
      <w:pPr>
        <w:pStyle w:val="ListBullet"/>
      </w:pPr>
      <w:r>
        <w:t>A relevant child chunk with a missing prerequisite, warning, table header/unit or referenced figure cannot pass the completeness gate. A missing or unapproved dependency manifest also fails closed.</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Keep the existing release targets. Report unsupported eligibility approvals and unjustified repeat steps alongside next-step correctness, complete evidence recall, answerable coverage and proper abstention; adjudicate failures against the original manual and reviewed policy rules.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pPr>
              <w:spacing w:after="20"/>
            </w:pPr>
            <w:r>
              <w:rPr>
                <w:sz w:val="16"/>
              </w:rPr>
              <w:t>No reranker vs cross-encoder vs late-interaction</w:t>
            </w:r>
          </w:p>
        </w:tc>
        <w:tc>
          <w:tcPr>
            <w:tcW w:type="dxa" w:w="3341"/>
            <w:vAlign w:val="center"/>
            <w:shd w:fill="F3F6FA"/>
          </w:tcPr>
          <w:p>
            <w:pPr>
              <w:spacing w:after="20"/>
            </w:pPr>
            <w:r>
              <w:rPr>
                <w:sz w:val="16"/>
              </w:rPr>
              <w:t>MRR, recall, p95 and token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No verifier vs deterministic+semantic support gate</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sectPr w:rsidR="00FC693F" w:rsidRPr="0006063C" w:rsidSect="00034616">
      <w:headerReference w:type="default" r:id="rId9"/>
      <w:footerReference w:type="default" r:id="rId10"/>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v0.3  |  SOURCE REVIEW PENDING  |  09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7F7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2026-10-09T09:12:13Z</dcterms:modified>
  <cp:category/>
  <cp:version>0.3</cp:version>
</cp:coreProperties>
</file>