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  |  Concept design &amp; architecture</w:t>
      </w:r>
    </w:p>
    <w:p>
      <w:pPr>
        <w:pStyle w:val="Subtitle"/>
      </w:pPr>
      <w:r>
        <w:t>Evidence-grounded, multimodal and adaptive motorcycle troubleshooting</w:t>
      </w:r>
    </w:p>
    <w:p>
      <w:r>
        <w:rPr>
          <w:b/>
          <w:color w:val="B5631D"/>
          <w:sz w:val="17"/>
        </w:rPr>
        <w:t>DRAFT  v0.2    •    Owner-manual prototype; independent review and variant fit pending</w:t>
      </w:r>
    </w:p>
    <w:p>
      <w:pPr>
        <w:pStyle w:val="Heading1"/>
      </w:pPr>
      <w:r>
        <w:t>Executive concept</w:t>
      </w:r>
    </w:p>
    <w:p>
      <w:r>
        <w:t>MotoMedic AI is a shareable assistant for an identified motorcycle model and a versioned Royal Enfield New Himalayan 450 owner's manual. Users may describe a symptom in text, upload a motorcycle photo, or optionally dictate a voice message. The assistant retrieves and composes only manual-supported advice, cites the relevant pages, and explicitly escalates to OEM support when evidence is unavailable.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22"/>
      </w:tblGrid>
      <w:tr>
        <w:tc>
          <w:tcPr>
            <w:tcW w:type="dxa" w:w="10022"/>
            <w:shd w:fill="EAF3F7"/>
          </w:tcPr>
          <w:p>
            <w:r>
              <w:rPr>
                <w:b/>
                <w:color w:val="1766A5"/>
              </w:rPr>
              <w:t xml:space="preserve">Product thesis  </w:t>
            </w:r>
            <w:r>
              <w:t>The retrieval system locates evidence; a diagnostic state machine chooses the next eligible documented action; a fail-closed release gate prevents unsupported technical instructions from reaching the customer.</w:t>
            </w:r>
          </w:p>
        </w:tc>
      </w:tr>
    </w:tbl>
    <w:p>
      <w:pPr>
        <w:spacing w:after="0"/>
      </w:pPr>
    </w:p>
    <w:p>
      <w:pPr>
        <w:pStyle w:val="Heading1"/>
      </w:pPr>
      <w:r>
        <w:t>User promise and boundaries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1"/>
        <w:gridCol w:w="5011"/>
      </w:tblGrid>
      <w:tr>
        <w:trPr>
          <w:tblHeader/>
        </w:trPr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Out of scope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Guided, multi-turn troubleshooting with remembered results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General mechanical knowledge, unsupported diagnosis, or repair improvisation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Citations to exact OEM pages, including warnings and tables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Claiming a visual observation proves a hidden root cause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Text and photo input; optional speech-to-text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Unrestricted speech-to-speech repair advice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Honest refusal + verified OEM support route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Saying “not in the manual” when the index or parser failed</w:t>
            </w:r>
          </w:p>
        </w:tc>
      </w:tr>
    </w:tbl>
    <w:p>
      <w:pPr>
        <w:spacing w:after="0"/>
      </w:pPr>
    </w:p>
    <w:p>
      <w:pPr>
        <w:pStyle w:val="Heading1"/>
      </w:pPr>
      <w:r>
        <w:t>End-to-end logical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4645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4645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Two pipelines keep runtime fast: document parsing, enrichment, indexing and explicit relationship extraction occur offline. Online processing interprets customer observations, uses dense+sparse retrieval and graph-linked evidence, then conditionally generates a verified answer. Every output is accompanied by session-state updates and telemetry.</w:t>
      </w:r>
    </w:p>
    <w:p>
      <w:pPr>
        <w:pStyle w:val="Heading1"/>
      </w:pPr>
      <w:r>
        <w:t>Adaptive troubleshooting: what happens after feedback?</w:t>
      </w:r>
    </w:p>
    <w:p>
      <w:r>
        <w:t>The assistant treats customer feedback as an observation, not as authorization to assume a diagnosis. “That component looked fine,” “I completed the action but the symptom remains,” and “that condition does not apply” are different structured outcomes.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0982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aptiv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9824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1"/>
        <w:gridCol w:w="3341"/>
        <w:gridCol w:w="3341"/>
      </w:tblGrid>
      <w:tr>
        <w:trPr>
          <w:tblHeader/>
        </w:trPr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Customer statement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Session interpretation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Next move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“I checked it; it was normal.”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OBSERVED_NORMAL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Eliminate the documented branch that depends on an abnormal result; find an eligible alternative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“I tried that; it still happens.”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ACTION_COMPLETED_UNRESOLVED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Do not assume the component was healthy; select next permitted documented step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“My bike does not have that part.”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NOT_APPLICABLE (after variant confirmation)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Re-check bike/manual variant and avoid the inapplicable procedure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“I cannot tell what I am seeing.”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UNCLEAR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Ask one discriminating question or request another photo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“It works now.”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RESOLVED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Close session with recap; no unsupported claim of root cause</w:t>
            </w:r>
          </w:p>
        </w:tc>
      </w:tr>
    </w:tbl>
    <w:p>
      <w:pPr>
        <w:spacing w:after="0"/>
      </w:pPr>
    </w:p>
    <w:p>
      <w:pPr>
        <w:pStyle w:val="Heading1"/>
      </w:pPr>
      <w:r>
        <w:t>Conceptual evidence policy</w:t>
      </w:r>
    </w:p>
    <w:p>
      <w:pPr>
        <w:pStyle w:val="ListBullet"/>
      </w:pPr>
      <w:r>
        <w:t>A technical instruction must cite the exact applicable evidence object (manual ID, section, printed/page index, optional image bounding box)</w:t>
      </w:r>
    </w:p>
    <w:p>
      <w:pPr>
        <w:pStyle w:val="ListBullet"/>
      </w:pPr>
      <w:r>
        <w:t>Attach prerequisites, cautions, warnings, variant-specific specifications and referenced sections before composing a procedural answer</w:t>
      </w:r>
    </w:p>
    <w:p>
      <w:pPr>
        <w:pStyle w:val="ListBullet"/>
      </w:pPr>
      <w:r>
        <w:t>When evidence is partial, clarify or disclose the gap; never complete a procedure from general motorcycle knowledge</w:t>
      </w:r>
    </w:p>
    <w:p>
      <w:pPr>
        <w:pStyle w:val="ListBullet"/>
      </w:pPr>
      <w:r>
        <w:t>Use document-linked OEM service-routing metadata to provide an escalation path after all applicable documented options are exhausted</w:t>
      </w:r>
    </w:p>
    <w:p>
      <w:pPr>
        <w:pStyle w:val="ListBullet"/>
      </w:pPr>
      <w:r>
        <w:t>If retrieval infrastructure is unavailable, return “temporarily unable to verify,” never the false claim that the information is absent</w:t>
      </w:r>
    </w:p>
    <w:p>
      <w:pPr>
        <w:pStyle w:val="Heading1"/>
      </w:pPr>
      <w:r>
        <w:t>Guardrails and release checks</w:t>
      </w:r>
    </w:p>
    <w:p>
      <w:pPr>
        <w:pStyle w:val="ListBullet"/>
      </w:pPr>
      <w:r>
        <w:t>Source and applicability gate: confirm the selected owner manual checksum, model and variant before any procedure; block advice when applicability is unresolved.</w:t>
      </w:r>
    </w:p>
    <w:p>
      <w:pPr>
        <w:pStyle w:val="ListBullet"/>
      </w:pPr>
      <w:r>
        <w:t>Evidence gate: assemble the relevant procedure, conditions, warnings, specifications, tables and linked pages; require every technical claim to map to an immutable source object and page.</w:t>
      </w:r>
    </w:p>
    <w:p>
      <w:pPr>
        <w:pStyle w:val="ListBullet"/>
      </w:pPr>
      <w:r>
        <w:t>Safety gate: surface source warnings and unmet prerequisites, stop unsafe or undocumented bypass requests, and refer to authorised service when the manual gives no safe next step.</w:t>
      </w:r>
    </w:p>
    <w:p>
      <w:pPr>
        <w:pStyle w:val="ListBullet"/>
      </w:pPr>
      <w:r>
        <w:t>Dialogue guardrail: ask one discriminating, source-derived question at a time; store typed outcomes; never infer that an attempted action was normal or repeat it without a documented reason.</w:t>
      </w:r>
    </w:p>
    <w:p>
      <w:pPr>
        <w:pStyle w:val="ListBullet"/>
      </w:pPr>
      <w:r>
        <w:t>Untrusted input guardrail: treat PDF text, images and user messages as data; ignore embedded instructions that try to change source, safety or citation policy.</w:t>
      </w:r>
    </w:p>
    <w:p>
      <w:pPr>
        <w:pStyle w:val="ListBullet"/>
      </w:pPr>
      <w:r>
        <w:t>Failure distinction: insufficient evidence triggers clarification or honest abstention; a parser, retrieval or model outage triggers a system-error message, never a false claim that the manual lacks information.</w:t>
      </w:r>
    </w:p>
    <w:p>
      <w:pPr>
        <w:pStyle w:val="ListBullet"/>
      </w:pPr>
      <w:r>
        <w:t>Cache guardrail: cache exact reviewed golden paths by manual checksum, variant, flow and policy version. Invalidate on any relevant change, and never use similarity alone to select a cached repair answer.</w:t>
      </w:r>
    </w:p>
    <w:p>
      <w:pPr>
        <w:pStyle w:val="ListBullet"/>
      </w:pPr>
      <w:r>
        <w:t>Privacy and cost guardrail: keep photos and audio ephemeral by default, redact traces, protect secrets, and apply rate and spending limits to a public demo.</w:t>
      </w:r>
    </w:p>
    <w:p>
      <w:pPr>
        <w:pStyle w:val="Heading1"/>
      </w:pPr>
      <w:r>
        <w:t>User-facing experience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1"/>
        <w:gridCol w:w="5011"/>
      </w:tblGrid>
      <w:tr>
        <w:trPr>
          <w:tblHeader/>
        </w:trPr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Screen state</w:t>
            </w:r>
          </w:p>
        </w:tc>
        <w:tc>
          <w:tcPr>
            <w:tcW w:type="dxa" w:w="5011"/>
            <w:shd w:fill="102238"/>
          </w:tcPr>
          <w:p>
            <w:r>
              <w:rPr>
                <w:b/>
                <w:color w:val="FFFFFF"/>
                <w:sz w:val="16"/>
              </w:rPr>
              <w:t>What the customer sees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Model selection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Bike/make/year/variant and selected manual edition; no advice until applicability is resolved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Ask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Text prompt, upload-photo control, optional record-voice control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Guided step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One documented check/action at a time with page reference, warning and short explanation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Feedback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“Normal”, “Abnormal”, “Tried - not fixed”, “Not applicable”, “Not sure”, “Fixed”</w:t>
            </w:r>
          </w:p>
        </w:tc>
      </w:tr>
      <w:tr>
        <w:trPr>
          <w:cantSplit/>
        </w:trPr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Evidence</w:t>
            </w:r>
          </w:p>
        </w:tc>
        <w:tc>
          <w:tcPr>
            <w:tcW w:type="dxa" w:w="5011"/>
            <w:vAlign w:val="center"/>
          </w:tcPr>
          <w:p>
            <w:pPr>
              <w:spacing w:after="20"/>
            </w:pPr>
            <w:r>
              <w:rPr>
                <w:sz w:val="16"/>
              </w:rPr>
              <w:t>A readable citation opening the PDF page/diagram/table extract</w:t>
            </w:r>
          </w:p>
        </w:tc>
      </w:tr>
      <w:tr>
        <w:trPr>
          <w:cantSplit/>
        </w:trPr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Escalation</w:t>
            </w:r>
          </w:p>
        </w:tc>
        <w:tc>
          <w:tcPr>
            <w:tcW w:type="dxa" w:w="501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Transparent unsupported/undocumented status and a verified OEM support link or copyable request</w:t>
            </w:r>
          </w:p>
        </w:tc>
      </w:tr>
    </w:tbl>
    <w:p>
      <w:pPr>
        <w:spacing w:after="0"/>
      </w:pPr>
    </w:p>
    <w:p>
      <w:pPr>
        <w:pStyle w:val="Heading1"/>
      </w:pPr>
      <w:r>
        <w:t>Progressive capability release</w:t>
      </w:r>
    </w:p>
    <w:tbl>
      <w:tblPr>
        <w:tblStyle w:val="LightShading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41"/>
        <w:gridCol w:w="3341"/>
        <w:gridCol w:w="3341"/>
      </w:tblGrid>
      <w:tr>
        <w:trPr>
          <w:tblHeader/>
        </w:trPr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Capability</w:t>
            </w:r>
          </w:p>
        </w:tc>
        <w:tc>
          <w:tcPr>
            <w:tcW w:type="dxa" w:w="3341"/>
            <w:shd w:fill="102238"/>
          </w:tcPr>
          <w:p>
            <w:r>
              <w:rPr>
                <w:b/>
                <w:color w:val="FFFFFF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MVP / P0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Versioned PDF, hybrid retrieval, citations, abstention, adaptive sessions, verified source links, text and photo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Manual-backed gold tests; adaptive state and source checks pass</w:t>
            </w:r>
          </w:p>
        </w:tc>
      </w:tr>
      <w:tr>
        <w:trPr>
          <w:cantSplit/>
        </w:trPr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Enhanced / P1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Expanded graph extraction, caching, tracing and optional voice; hosted demo remains P0</w:t>
            </w:r>
          </w:p>
        </w:tc>
        <w:tc>
          <w:tcPr>
            <w:tcW w:type="dxa" w:w="3341"/>
            <w:vAlign w:val="center"/>
            <w:shd w:fill="F3F6FA"/>
          </w:tcPr>
          <w:p>
            <w:pPr>
              <w:spacing w:after="20"/>
            </w:pPr>
            <w:r>
              <w:rPr>
                <w:sz w:val="16"/>
              </w:rPr>
              <w:t>Multi-section evidence and performance test improvements</w:t>
            </w:r>
          </w:p>
        </w:tc>
      </w:tr>
      <w:tr>
        <w:trPr>
          <w:cantSplit/>
        </w:trPr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Experiment / P2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Sarvam voice, late-interaction retrieval, visual-page retrieval, model/reranker ablations</w:t>
            </w:r>
          </w:p>
        </w:tc>
        <w:tc>
          <w:tcPr>
            <w:tcW w:type="dxa" w:w="3341"/>
            <w:vAlign w:val="center"/>
          </w:tcPr>
          <w:p>
            <w:pPr>
              <w:spacing w:after="20"/>
            </w:pPr>
            <w:r>
              <w:rPr>
                <w:sz w:val="16"/>
              </w:rPr>
              <w:t>Measured lift in evidence completeness, cost or latency</w:t>
            </w:r>
          </w:p>
        </w:tc>
      </w:tr>
    </w:tbl>
    <w:p>
      <w:pPr>
        <w:spacing w:after="0"/>
      </w:pPr>
    </w:p>
    <w:p>
      <w:pPr>
        <w:pStyle w:val="Heading1"/>
      </w:pPr>
      <w:r>
        <w:t>Assumptions still to verify</w:t>
      </w:r>
    </w:p>
    <w:p>
      <w:pPr>
        <w:pStyle w:val="ListBullet"/>
      </w:pPr>
      <w:r>
        <w:t>The supplied owner's manual is available for this prototype; confirm variant fit and rights before a public demo</w:t>
      </w:r>
    </w:p>
    <w:p>
      <w:pPr>
        <w:pStyle w:val="ListBullet"/>
      </w:pPr>
      <w:r>
        <w:t>Critical cross-references, diagrams, safety blocks and table headers survive layout extraction; review difficult pages manually</w:t>
      </w:r>
    </w:p>
    <w:p>
      <w:pPr>
        <w:pStyle w:val="ListBullet"/>
      </w:pPr>
      <w:r>
        <w:t>A public Streamlit deployment can support the selected vector storage and model endpoints at acceptable latency</w:t>
      </w:r>
    </w:p>
    <w:p>
      <w:pPr>
        <w:pStyle w:val="ListBullet"/>
      </w:pPr>
      <w:r>
        <w:t>The interviewer will judge a text-output demo sufficient; audio output is optional</w:t>
      </w:r>
    </w:p>
    <w:p>
      <w:r>
        <w:t>Supporting vendor and research references are consolidated in the companion To Build document.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09" w:bottom="1008" w:left="11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26071"/>
        <w:sz w:val="16"/>
      </w:rPr>
      <w:t xml:space="preserve">DRAFT • OWNER-MANUAL PILOT     |     08 OCTOBER 2026     |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F7B"/>
        <w:sz w:val="16"/>
      </w:rPr>
      <w:t>MOTOMEDIC AI   |   DESIGN PACKAGE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4" w:lineRule="auto"/>
    </w:pPr>
    <w:rPr>
      <w:rFonts w:ascii="Aptos" w:hAnsi="Aptos"/>
      <w:color w:val="102238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0223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1766A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ptos" w:hAnsi="Aptos"/>
      <w:b/>
      <w:bCs/>
      <w:color w:val="007F7B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02238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Aptos" w:hAnsi="Aptos"/>
      <w:b w:val="0"/>
      <w:i/>
      <w:iCs/>
      <w:color w:val="52607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Aptos" w:hAnsi="Aptos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