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02  |  Product requirements</w:t>
      </w:r>
    </w:p>
    <w:p>
      <w:pPr>
        <w:pStyle w:val="Subtitle"/>
      </w:pPr>
      <w:r>
        <w:t>PRD v0.2  •  User journeys, behavioral contracts and acceptance criteria</w:t>
      </w:r>
    </w:p>
    <w:p>
      <w:r>
        <w:rPr>
          <w:b/>
          <w:color w:val="B5631D"/>
          <w:sz w:val="17"/>
        </w:rPr>
        <w:t>DRAFT  v0.2    •    Manual-specific rules and golden answers pending OEM source review</w:t>
      </w:r>
    </w:p>
    <w:p>
      <w:pPr>
        <w:pStyle w:val="Heading1"/>
      </w:pPr>
      <w:r>
        <w:t>1  Product summary</w:t>
      </w:r>
    </w:p>
    <w:p>
      <w:r>
        <w:t>MotoMedic AI supports owners who need a trustworthy, concise, manual-backed next action when a motorcycle exhibits a symptom. The current prototype uses only the supplied Royal Enfield New Himalayan 450 owner's manual. The system is an advisory aid, not a replacement for an authorized technician. Product success means either a correct documented next step, a justified clarification, a documented resolution, or an honest OEM escalation.</w:t>
      </w:r>
    </w:p>
    <w:p>
      <w:pPr>
        <w:pStyle w:val="Heading1"/>
      </w:pPr>
      <w:r>
        <w:t>2  Problem, users and jobs to be done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1"/>
        <w:gridCol w:w="3341"/>
        <w:gridCol w:w="3341"/>
      </w:tblGrid>
      <w:tr>
        <w:trPr>
          <w:tblHeader/>
        </w:trPr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Persona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Job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Critical need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Motorcycle owner / rider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Understand a warning, symptom or basic maintenance issue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Simple language; no unsupported repairs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Confident hobbyist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Locate a specific inspection procedure or specification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Exact variant, units, prerequisites and citations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Reviewer / interviewer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Try known, ambiguous, adversarial and photo scenarios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A shareable URL, reproducible answers, transparent failures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Maintainer / developer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Audit a conversation and compare pipeline versions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Traces, regression suite, source and prompt versions</w:t>
            </w:r>
          </w:p>
        </w:tc>
      </w:tr>
    </w:tbl>
    <w:p>
      <w:pPr>
        <w:spacing w:after="0"/>
      </w:pPr>
    </w:p>
    <w:p>
      <w:pPr>
        <w:pStyle w:val="Heading1"/>
      </w:pPr>
      <w:r>
        <w:t>3  Goals and non-goals</w:t>
      </w:r>
    </w:p>
    <w:p>
      <w:pPr>
        <w:pStyle w:val="ListBullet"/>
      </w:pPr>
      <w:r>
        <w:t>G1: Maximize correct manual-supported troubleshooting outcomes while maintaining a low unsupported-instruction rate</w:t>
      </w:r>
    </w:p>
    <w:p>
      <w:pPr>
        <w:pStyle w:val="ListBullet"/>
      </w:pPr>
      <w:r>
        <w:t>G2: Support iterative diagnosis without repeating ruled-out steps or fabricating alternative repair paths</w:t>
      </w:r>
    </w:p>
    <w:p>
      <w:pPr>
        <w:pStyle w:val="ListBullet"/>
      </w:pPr>
      <w:r>
        <w:t>G3: Accept text and bike photos; support optional voice input that resolves to the same grounding flow</w:t>
      </w:r>
    </w:p>
    <w:p>
      <w:pPr>
        <w:pStyle w:val="ListBullet"/>
      </w:pPr>
      <w:r>
        <w:t>G4: Be accessible by URL and independently testable without a local installation</w:t>
      </w:r>
    </w:p>
    <w:p>
      <w:pPr>
        <w:pStyle w:val="ListBullet"/>
      </w:pPr>
      <w:r>
        <w:t>NG1: Diagnose unobservable internal faults from a photograph or guarantee a completed repair</w:t>
      </w:r>
    </w:p>
    <w:p>
      <w:pPr>
        <w:pStyle w:val="ListBullet"/>
      </w:pPr>
      <w:r>
        <w:t>NG2: Blend general web or model knowledge into technical recommendations</w:t>
      </w:r>
    </w:p>
    <w:p>
      <w:pPr>
        <w:pStyle w:val="ListBullet"/>
      </w:pPr>
      <w:r>
        <w:t>NG3: Offer user-configurable aftermarket modifications, undocumented bypasses or unverified safety-critical actions</w:t>
      </w:r>
    </w:p>
    <w:p>
      <w:pPr>
        <w:pStyle w:val="Heading1"/>
      </w:pPr>
      <w:r>
        <w:t>4  Functional requirements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1"/>
        <w:gridCol w:w="3341"/>
        <w:gridCol w:w="3341"/>
      </w:tblGrid>
      <w:tr>
        <w:trPr>
          <w:tblHeader/>
        </w:trPr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ID / level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Acceptance criterion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FR-01 / P0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Manual applicability and version lock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Model/year/variant and selected manual are visible; mismatches block procedural advice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FR-02 / P0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Text symptom input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Free-text query returns supported answer, clarification or documented abstention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FR-03 / P0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Photo symptom input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Vision extracts visible observations and uncertainty; technical advice remains grounded in manual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FR-04 / P0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Evidence-linked answers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Each technical instruction has a validated source page and applicable warning/prerequisite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FR-05 / P0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Fail-closed abstention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No supported evidence =&gt; no repair step; point to verified OEM support route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FR-06 / P0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One-question clarification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System asks for the minimum observation needed to choose a documented branch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FR-07 / P0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Adaptive troubleshooting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Tracks outcomes, rules out inapplicable branches, proposes only untried eligible steps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FR-08 / P0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Session continuity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Follow-up “it didn’t fix it” preserves prior steps in current browser session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FR-09 / P0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Safety policy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Manual warnings surfaced; conflicts/missing prerequisites trigger clarification or stop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FR-10 / P0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Manual evidence access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Customer can inspect original source page or excerpt associated with answer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FR-11 / P0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Shareable web demo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Accessible at an externally reachable URL with example scenarios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FR-12 / P1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Optional voice-to-text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Speech transcript displayed/confirmed before applying standard RAG path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FR-13 / P1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Correction / backtracking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“I meant X, not Y” revises observation and re-evaluates affected branches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FR-14 / P1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Diagnostic summary for OEM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Copyable summary includes symptoms, documented checks, observations and manual version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FR-15 / P1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Anonymous feedback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Optional useful/not useful feedback with non-sensitive trace reference</w:t>
            </w:r>
          </w:p>
        </w:tc>
      </w:tr>
    </w:tbl>
    <w:p>
      <w:pPr>
        <w:spacing w:after="0"/>
      </w:pPr>
    </w:p>
    <w:p>
      <w:pPr>
        <w:pStyle w:val="Heading1"/>
      </w:pPr>
      <w:r>
        <w:t>5  Adaptive troubleshooting behavior</w:t>
      </w:r>
    </w:p>
    <w:p>
      <w:r>
        <w:t>A diagnostic session is a bounded tree/graph traversal over OEM-supported observations and procedures. The UI primarily presents a single step (or discriminating question) and asks for a structured result. Open-ended replies are interpreted into a typed outcome; uncertainty is explicitly retained.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1"/>
        <w:gridCol w:w="3341"/>
        <w:gridCol w:w="3341"/>
      </w:tblGrid>
      <w:tr>
        <w:trPr>
          <w:tblHeader/>
        </w:trPr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Outcome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Meaning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Required system behavior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NOT_TRIED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Step suggested but no response yet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Do not treat as completed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OBSERVED_NORMAL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User confirms a tested condition is normal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Mark relevant abnormal branch ineligible; do not infer complete system health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OBSERVED_ABNORMAL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User confirms documented abnormal condition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Proceed to exact corresponding documented procedure or escalate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ACTION_COMPLETED_UNRESOLVED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Customer tried action; symptom persists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Select next eligible documented step, without assuming test result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NOT_APPLICABLE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Step/part genuinely does not apply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Validate variant; exclude step for current context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UNCLEAR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Cannot determine observation or outcome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Request a precise recheck/photo/answer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RESOLVED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Customer confirms symptom no longer occurs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Close session; cite actions and avoid unsupported causal explanation</w:t>
            </w:r>
          </w:p>
        </w:tc>
      </w:tr>
    </w:tbl>
    <w:p>
      <w:pPr>
        <w:spacing w:after="0"/>
      </w:pPr>
    </w:p>
    <w:p>
      <w:pPr>
        <w:pStyle w:val="Heading1"/>
      </w:pPr>
      <w:r>
        <w:t>6  Interaction examples (illustrative, not manual-grounded)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1"/>
        <w:gridCol w:w="5011"/>
      </w:tblGrid>
      <w:tr>
        <w:trPr>
          <w:tblHeader/>
        </w:trPr>
        <w:tc>
          <w:tcPr>
            <w:tcW w:type="dxa" w:w="5011"/>
            <w:shd w:fill="102238"/>
          </w:tcPr>
          <w:p>
            <w:r>
              <w:rPr>
                <w:b/>
                <w:color w:val="FFFFFF"/>
                <w:sz w:val="16"/>
              </w:rPr>
              <w:t>Customer</w:t>
            </w:r>
          </w:p>
        </w:tc>
        <w:tc>
          <w:tcPr>
            <w:tcW w:type="dxa" w:w="5011"/>
            <w:shd w:fill="102238"/>
          </w:tcPr>
          <w:p>
            <w:r>
              <w:rPr>
                <w:b/>
                <w:color w:val="FFFFFF"/>
                <w:sz w:val="16"/>
              </w:rPr>
              <w:t>Expected bot behavior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“The lights come on but it won’t start.”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Ask the documented question distinguishing the available start-failure branches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“I checked the switch, it was in the correct position.”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Record OBSERVED_NORMAL; do not repeat that check; retrieve next documented branch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“I did step 2 but it did not help.”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Record ACTION_COMPLETED_UNRESOLVED; offer next eligible documented check or OEM escalation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“There is no such component on my variant.”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Re-confirm manual/variant; mark NOT_APPLICABLE; do not prescribe related work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“The photo shows a symbol you cannot clearly recognize.”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Ask for a clearer view/description; no speculative symbol diagnosis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“Tell me an undocumented workaround.”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Abstain and provide OEM contact channel</w:t>
            </w:r>
          </w:p>
        </w:tc>
      </w:tr>
    </w:tbl>
    <w:p>
      <w:pPr>
        <w:spacing w:after="0"/>
      </w:pPr>
    </w:p>
    <w:p>
      <w:pPr>
        <w:pStyle w:val="Heading1"/>
      </w:pPr>
      <w:r>
        <w:t>7  UX content and presentation policy</w:t>
      </w:r>
    </w:p>
    <w:p>
      <w:pPr>
        <w:pStyle w:val="ListBullet"/>
      </w:pPr>
      <w:r>
        <w:t>Answer layout: observed symptom; documented next step; prerequisites/safety warnings; why this step is relevant (only if supported); exact manual citation; structured feedback choices</w:t>
      </w:r>
    </w:p>
    <w:p>
      <w:pPr>
        <w:pStyle w:val="ListBullet"/>
      </w:pPr>
      <w:r>
        <w:t>Clarification layout: one focused question with a small set of manual-derived answer choices; do not require the rider to use technical jargon</w:t>
      </w:r>
    </w:p>
    <w:p>
      <w:pPr>
        <w:pStyle w:val="ListBullet"/>
      </w:pPr>
      <w:r>
        <w:t>Abstention language: “I could not verify an applicable procedure in the selected manual. For further diagnosis, please contact the OEM/authorized service provider.”</w:t>
      </w:r>
    </w:p>
    <w:p>
      <w:pPr>
        <w:pStyle w:val="ListBullet"/>
      </w:pPr>
      <w:r>
        <w:t>Error language: distinguish unsupported evidence from parser failure, API outage, and unconfirmed bike variant; do not misrepresent a system error as absence in the manual</w:t>
      </w:r>
    </w:p>
    <w:p>
      <w:pPr>
        <w:pStyle w:val="Heading1"/>
      </w:pPr>
      <w:r>
        <w:t>8  Safety, privacy and trust requirements</w:t>
      </w:r>
    </w:p>
    <w:p>
      <w:pPr>
        <w:pStyle w:val="ListBullet"/>
      </w:pPr>
      <w:r>
        <w:t>Source-only guarantee applies to substantive technical recommendations; neutral conversational phrasing, source metadata and verified OEM contact information may be outside the manual</w:t>
      </w:r>
    </w:p>
    <w:p>
      <w:pPr>
        <w:pStyle w:val="ListBullet"/>
      </w:pPr>
      <w:r>
        <w:t>Do not continue an unsafe procedure when a relevant manual warning or unmet prerequisite applies; show the warning and stop/clarify appropriately</w:t>
      </w:r>
    </w:p>
    <w:p>
      <w:pPr>
        <w:pStyle w:val="ListBullet"/>
      </w:pPr>
      <w:r>
        <w:t>Treat manuals and user messages as untrusted instruction-bearing data: ignore commands embedded in PDFs or images that attempt to change system policy</w:t>
      </w:r>
    </w:p>
    <w:p>
      <w:pPr>
        <w:pStyle w:val="ListBullet"/>
      </w:pPr>
      <w:r>
        <w:t>Raw photos/audio are ephemeral by default, with no persistent storage in public demo telemetry unless separately opted in</w:t>
      </w:r>
    </w:p>
    <w:p>
      <w:pPr>
        <w:pStyle w:val="ListBullet"/>
      </w:pPr>
      <w:r>
        <w:t>Display that this is an experimental support tool and not a substitute for official service advice</w:t>
      </w:r>
    </w:p>
    <w:p>
      <w:pPr>
        <w:pStyle w:val="Heading1"/>
      </w:pPr>
      <w:r>
        <w:t>9  Nonfunctional requirements and indicative targets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1"/>
        <w:gridCol w:w="5011"/>
      </w:tblGrid>
      <w:tr>
        <w:trPr>
          <w:tblHeader/>
        </w:trPr>
        <w:tc>
          <w:tcPr>
            <w:tcW w:type="dxa" w:w="5011"/>
            <w:shd w:fill="102238"/>
          </w:tcPr>
          <w:p>
            <w:r>
              <w:rPr>
                <w:b/>
                <w:color w:val="FFFFFF"/>
                <w:sz w:val="16"/>
              </w:rPr>
              <w:t>Measure</w:t>
            </w:r>
          </w:p>
        </w:tc>
        <w:tc>
          <w:tcPr>
            <w:tcW w:type="dxa" w:w="5011"/>
            <w:shd w:fill="102238"/>
          </w:tcPr>
          <w:p>
            <w:r>
              <w:rPr>
                <w:b/>
                <w:color w:val="FFFFFF"/>
                <w:sz w:val="16"/>
              </w:rPr>
              <w:t>Target / condition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Grounding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Zero unsupported technical steps across manually reviewed release regression suite; not a production guarantee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Abstention recall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At least 95% on labelled unanswerable test cases; benchmark-dependent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Answerable coverage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At least 80% supported answer rate on answerable cases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Complete evidence recall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At least 90% of answerable cases have all required evidence objects in bundle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Citation validity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At least 98% claim-supporting, correct manual references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Latency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Warm text p95 under 5 seconds; photo p95 under 10 seconds; measure cold starts separately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Reliability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External-link smoke tests and session continuity pass before handover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Cost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Track cost per correctly handled case; define budget after model/provider selection</w:t>
            </w:r>
          </w:p>
        </w:tc>
      </w:tr>
    </w:tbl>
    <w:p>
      <w:pPr>
        <w:spacing w:after="0"/>
      </w:pPr>
    </w:p>
    <w:p>
      <w:pPr>
        <w:pStyle w:val="Heading1"/>
      </w:pPr>
      <w:r>
        <w:t>10  Acceptance test / release gates</w:t>
      </w:r>
    </w:p>
    <w:p>
      <w:pPr>
        <w:pStyle w:val="ListNumber"/>
      </w:pPr>
      <w:r>
        <w:t>Choose and freeze one exact manual/variant, source checksum and rights posture</w:t>
      </w:r>
    </w:p>
    <w:p>
      <w:pPr>
        <w:pStyle w:val="ListNumber"/>
      </w:pPr>
      <w:r>
        <w:t>Create at least 25 independently reviewed gold cases before release, including multi-turn and image cases where evidence exists</w:t>
      </w:r>
    </w:p>
    <w:p>
      <w:pPr>
        <w:pStyle w:val="ListNumber"/>
      </w:pPr>
      <w:r>
        <w:t>Validate no unsupported instruction in the release regression set; manually review every high-risk case</w:t>
      </w:r>
    </w:p>
    <w:p>
      <w:pPr>
        <w:pStyle w:val="ListNumber"/>
      </w:pPr>
      <w:r>
        <w:t>Prove that “I tried it, still failing” advances or clarifies rather than looping to the same check</w:t>
      </w:r>
    </w:p>
    <w:p>
      <w:pPr>
        <w:pStyle w:val="ListNumber"/>
      </w:pPr>
      <w:r>
        <w:t>Prove that missing evidence triggers OEM escalation, while a backend error triggers a service-error message</w:t>
      </w:r>
    </w:p>
    <w:p>
      <w:pPr>
        <w:pStyle w:val="ListNumber"/>
      </w:pPr>
      <w:r>
        <w:t>Verify that an independent reviewer can open the live URL and reproduce named demo scenarios</w:t>
      </w:r>
    </w:p>
    <w:p>
      <w:pPr>
        <w:pStyle w:val="Heading1"/>
      </w:pPr>
      <w:r>
        <w:t>11  Dependencies and open questions</w:t>
      </w:r>
    </w:p>
    <w:p>
      <w:pPr>
        <w:pStyle w:val="ListBullet"/>
      </w:pPr>
      <w:r>
        <w:t>Required: actual OEM manual, precise model/variant, verified OEM escalation URL, rights to exhibit selected manual excerpts</w:t>
      </w:r>
    </w:p>
    <w:p>
      <w:pPr>
        <w:pStyle w:val="ListBullet"/>
      </w:pPr>
      <w:r>
        <w:t>To decide after manual inspection: figure parsing quality, table preservation, graph-edge automation and photo test coverage</w:t>
      </w:r>
    </w:p>
    <w:p>
      <w:pPr>
        <w:pStyle w:val="ListBullet"/>
      </w:pPr>
      <w:r>
        <w:t>Product caveat: if the manual does not document alternative paths, a follow-up may legitimately end with an OEM escalation after only one check</w:t>
      </w:r>
    </w:p>
    <w:p>
      <w:r>
        <w:t>Supporting technical documentation is referenced in the Concept and To Build documents.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09" w:bottom="1008" w:left="11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6071"/>
        <w:sz w:val="16"/>
      </w:rPr>
      <w:t xml:space="preserve">DRAFT • PRE-MANUAL     |     08 OCTOBER 2026     |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007F7B"/>
        <w:sz w:val="16"/>
      </w:rPr>
      <w:t>MOTOMEDIC AI   |   DESIGN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4" w:lineRule="auto"/>
    </w:pPr>
    <w:rPr>
      <w:rFonts w:ascii="Aptos" w:hAnsi="Aptos"/>
      <w:color w:val="10223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0223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1766A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" w:hAnsi="Aptos"/>
      <w:b/>
      <w:bCs/>
      <w:color w:val="007F7B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0223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ptos" w:hAnsi="Aptos"/>
      <w:b w:val="0"/>
      <w:i/>
      <w:iCs/>
      <w:color w:val="52607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