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03  |  Technical requirements</w:t>
      </w:r>
    </w:p>
    <w:p>
      <w:pPr>
        <w:pStyle w:val="Subtitle"/>
      </w:pPr>
      <w:r>
        <w:t>TRD v0.2  •  Reference design and implementation contracts</w:t>
      </w:r>
    </w:p>
    <w:p>
      <w:r>
        <w:rPr>
          <w:b/>
          <w:color w:val="B5631D"/>
          <w:sz w:val="17"/>
        </w:rPr>
        <w:t>DRAFT  v0.2    •    Manual-specific rules and golden answers pending OEM source review</w:t>
      </w:r>
    </w:p>
    <w:p>
      <w:pPr>
        <w:pStyle w:val="Heading1"/>
      </w:pPr>
      <w: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Layer</w:t>
            </w:r>
          </w:p>
        </w:tc>
        <w:tc>
          <w:tcPr>
            <w:tcW w:type="dxa" w:w="3341"/>
            <w:shd w:fill="102238"/>
          </w:tcPr>
          <w:p>
            <w:r>
              <w:rPr>
                <w:b/>
                <w:color w:val="FFFFFF"/>
                <w:sz w:val="16"/>
              </w:rPr>
              <w:t>Authority</w:t>
            </w:r>
          </w:p>
        </w:tc>
        <w:tc>
          <w:tcPr>
            <w:tcW w:type="dxa" w:w="3341"/>
            <w:shd w:fill="102238"/>
          </w:tcPr>
          <w:p>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pPr>
              <w:spacing w:after="20"/>
            </w:pPr>
            <w:r>
              <w:rPr>
                <w:sz w:val="16"/>
              </w:rPr>
              <w:t>Claim validation and fail-closed renderer</w:t>
            </w:r>
          </w:p>
        </w:tc>
      </w:tr>
      <w:tr>
        <w:trPr>
          <w:cantSplit/>
        </w:trPr>
        <w:tc>
          <w:tcPr>
            <w:tcW w:type="dxa" w:w="3341"/>
            <w:vAlign w:val="center"/>
          </w:tcPr>
          <w:p>
            <w:pPr>
              <w:spacing w:after="20"/>
            </w:pPr>
            <w:r>
              <w:rPr>
                <w:sz w:val="16"/>
              </w:rPr>
              <w:t>State machine</w:t>
            </w:r>
          </w:p>
        </w:tc>
        <w:tc>
          <w:tcPr>
            <w:tcW w:type="dxa" w:w="3341"/>
            <w:vAlign w:val="center"/>
          </w:tcPr>
          <w:p>
            <w:pPr>
              <w:spacing w:after="20"/>
            </w:pPr>
            <w:r>
              <w:rPr>
                <w:sz w:val="16"/>
              </w:rPr>
              <w:t>Next eligible, documented diagnostic branch</w:t>
            </w:r>
          </w:p>
        </w:tc>
        <w:tc>
          <w:tcPr>
            <w:tcW w:type="dxa" w:w="3341"/>
            <w:vAlign w:val="center"/>
          </w:tcPr>
          <w:p>
            <w:pPr>
              <w:spacing w:after="20"/>
            </w:pPr>
            <w:r>
              <w:rPr>
                <w:sz w:val="16"/>
              </w:rPr>
              <w:t>OEM referral if no valid path remains</w:t>
            </w:r>
          </w:p>
        </w:tc>
      </w:tr>
    </w:tbl>
    <w:p>
      <w:pPr>
        <w:spacing w:after="0"/>
      </w:pPr>
    </w:p>
    <w:p>
      <w:pPr>
        <w:pStyle w:val="Heading1"/>
      </w:pPr>
      <w:r>
        <w:t>2  Offline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Entity</w:t>
            </w:r>
          </w:p>
        </w:tc>
        <w:tc>
          <w:tcPr>
            <w:tcW w:type="dxa" w:w="5011"/>
            <w:shd w:fill="102238"/>
          </w:tcPr>
          <w:p>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rPr>
                <w:sz w:val="16"/>
              </w:rPr>
              <w:t>DiagnosticSession</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rPr>
                <w:sz w:val="16"/>
              </w:rPr>
              <w:t>query_id, evidence_ids, mandatory_dependencies, conflicts, missing_conditions, applicability_status, sufficiency_status</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rPr>
                <w:sz w:val="16"/>
              </w:rPr>
              <w:t>type, natural_language, claim_evidence_map, cited_pages, suggested_step_id, clarification_question, escalation_uri, trace_id</w:t>
            </w:r>
          </w:p>
        </w:tc>
      </w:tr>
    </w:tbl>
    <w:p>
      <w:pPr>
        <w:spacing w:after="0"/>
      </w:pPr>
    </w:p>
    <w:p>
      <w:pPr>
        <w:pStyle w:val="Heading1"/>
      </w:pPr>
      <w:r>
        <w:t>4  Retrieval + evidence assembly contract</w:t>
      </w:r>
    </w:p>
    <w:p>
      <w:r>
        <w:t>First-stage dense retrieval uses cosine similarity or the embedding model’s native recommended metric to rank candidate chunks. Sparse retrieval handles exact warning labels, component codes and units. Fuse rankings with Reciprocal Rank Fusion, optionally apply a cross-encoder to top candidates, then attach parent procedures and verified graph neighbors.</w:t>
      </w:r>
    </w:p>
    <w:p>
      <w:r>
        <w:t>Candidate settings are starting hypotheses: dense top-20, sparse top-20; fused top-15; rerank top-10; expand 1–2 verified graph hops. Tune via the golden set, not intuition.</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evidence remains incomplete, permit at most one query reformulation/expansion before clarifying or abstaining; record what was searched</w:t>
      </w:r>
    </w:p>
    <w:p>
      <w:pPr>
        <w:pStyle w:val="ListBullet"/>
      </w:pPr>
      <w:r>
        <w:t>Cosine similarity and reranker scores are relevance heuristics, never proof that an instruction is supported</w:t>
      </w:r>
    </w:p>
    <w:p>
      <w:pPr>
        <w:pStyle w:val="Heading1"/>
      </w:pPr>
      <w:r>
        <w:t>5  Diagnostic state machine and adaptive branching</w:t>
      </w:r>
    </w:p>
    <w:p>
      <w:r>
        <w:t>A deterministic controller stores the diagnostic session separately from the LLM chat transcript. The controller accepts typed feedback and selects eligible actions only from the verified procedure graph. Generation occurs after next-step selection, never before.</w:t>
      </w:r>
    </w:p>
    <w:p>
      <w:pPr>
        <w:jc w:val="center"/>
      </w:pPr>
      <w:r>
        <w:drawing>
          <wp:inline xmlns:a="http://schemas.openxmlformats.org/drawingml/2006/main" xmlns:pic="http://schemas.openxmlformats.org/drawingml/2006/picture">
            <wp:extent cx="5989320" cy="3051656"/>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3051656"/>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Rule ID</w:t>
            </w:r>
          </w:p>
        </w:tc>
        <w:tc>
          <w:tcPr>
            <w:tcW w:type="dxa" w:w="5011"/>
            <w:shd w:fill="102238"/>
          </w:tcPr>
          <w:p>
            <w:r>
              <w:rPr>
                <w:b/>
                <w:color w:val="FFFFFF"/>
                <w:sz w:val="16"/>
              </w:rPr>
              <w:t>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requires relevant symptom, supported applicability, satisfied prerequisites, no active warning conflict and untried/non-eliminated status</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Ask a targeted question if a diagnostic edge depends on unknown conditions; otherwise choose documented next step</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t>6  Evidence sufficiency and output validation</w:t>
      </w:r>
    </w:p>
    <w:p>
      <w:r>
        <w:t>Apply two layers: a deterministic rules gate (valid manual, cited evidence IDs, required dependencies, prerequisites/variant, no explicit conflict) plus a semantic support evaluator that compares each proposed technical claim against relevant source spans. Reject the draft if either layer fails.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Gate result</w:t>
            </w:r>
          </w:p>
        </w:tc>
        <w:tc>
          <w:tcPr>
            <w:tcW w:type="dxa" w:w="5011"/>
            <w:shd w:fill="102238"/>
          </w:tcPr>
          <w:p>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pPr>
              <w:spacing w:after="20"/>
            </w:pPr>
            <w:r>
              <w:rPr>
                <w:sz w:val="16"/>
              </w:rPr>
              <w:t>Generate concise procedural explanation; run claim-to-source validation; include page citations</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relevant question derived from a documented branch condition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Abstain with “could not verify an applicable procedure” and verified OEM contact option</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Explain temporary inability to verify; do not claim absence from the manual</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Contract</w:t>
            </w:r>
          </w:p>
        </w:tc>
        <w:tc>
          <w:tcPr>
            <w:tcW w:type="dxa" w:w="3341"/>
            <w:shd w:fill="102238"/>
          </w:tcPr>
          <w:p>
            <w:r>
              <w:rPr>
                <w:b/>
                <w:color w:val="FFFFFF"/>
                <w:sz w:val="16"/>
              </w:rPr>
              <w:t>Core parameters</w:t>
            </w:r>
          </w:p>
        </w:tc>
        <w:tc>
          <w:tcPr>
            <w:tcW w:type="dxa" w:w="3341"/>
            <w:shd w:fill="102238"/>
          </w:tcPr>
          <w:p>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pPr>
              <w:spacing w:after="20"/>
            </w:pPr>
            <w:r>
              <w:rPr>
                <w:sz w:val="16"/>
              </w:rPr>
              <w:t>POST /sessions/{id}/turns</w:t>
            </w:r>
          </w:p>
        </w:tc>
        <w:tc>
          <w:tcPr>
            <w:tcW w:type="dxa" w:w="3341"/>
            <w:vAlign w:val="center"/>
            <w:shd w:fill="F3F6FA"/>
          </w:tcPr>
          <w:p>
            <w:pPr>
              <w:spacing w:after="20"/>
            </w:pPr>
            <w:r>
              <w:rPr>
                <w:sz w:val="16"/>
              </w:rPr>
              <w:t>text; optional image; optional transcript; previous outcome</w:t>
            </w:r>
          </w:p>
        </w:tc>
        <w:tc>
          <w:tcPr>
            <w:tcW w:type="dxa" w:w="3341"/>
            <w:vAlign w:val="center"/>
            <w:shd w:fill="F3F6FA"/>
          </w:tcPr>
          <w:p>
            <w:pPr>
              <w:spacing w:after="20"/>
            </w:pPr>
            <w:r>
              <w:rPr>
                <w:sz w:val="16"/>
              </w:rPr>
              <w:t>ANSWER / CLARIFY / ABSTAIN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rPr>
                <w:sz w:val="16"/>
              </w:rPr>
              <w:t>step_id, outcome_enum, observed_details</w:t>
            </w:r>
          </w:p>
        </w:tc>
        <w:tc>
          <w:tcPr>
            <w:tcW w:type="dxa" w:w="3341"/>
            <w:vAlign w:val="center"/>
          </w:tcPr>
          <w:p>
            <w:pPr>
              <w:spacing w:after="20"/>
            </w:pPr>
            <w:r>
              <w:rPr>
                <w:sz w:val="16"/>
              </w:rPr>
              <w:t>updated session version, next-turn eligibility</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pPr>
              <w:spacing w:after="20"/>
            </w:pPr>
            <w:r>
              <w:rPr>
                <w:sz w:val="16"/>
              </w:rPr>
              <w:t>safe text excerpt, page, diagram/table reference</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Technique</w:t>
            </w:r>
          </w:p>
        </w:tc>
        <w:tc>
          <w:tcPr>
            <w:tcW w:type="dxa" w:w="3341"/>
            <w:shd w:fill="102238"/>
          </w:tcPr>
          <w:p>
            <w:r>
              <w:rPr>
                <w:b/>
                <w:color w:val="FFFFFF"/>
                <w:sz w:val="16"/>
              </w:rPr>
              <w:t>Benefit</w:t>
            </w:r>
          </w:p>
        </w:tc>
        <w:tc>
          <w:tcPr>
            <w:tcW w:type="dxa" w:w="3341"/>
            <w:shd w:fill="102238"/>
          </w:tcPr>
          <w:p>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pPr>
              <w:spacing w:after="20"/>
            </w:pPr>
            <w:r>
              <w:rPr>
                <w:sz w:val="16"/>
              </w:rPr>
              <w:t>Exact procedure-path cache</w:t>
            </w:r>
          </w:p>
        </w:tc>
        <w:tc>
          <w:tcPr>
            <w:tcW w:type="dxa" w:w="3341"/>
            <w:vAlign w:val="center"/>
          </w:tcPr>
          <w:p>
            <w:pPr>
              <w:spacing w:after="20"/>
            </w:pPr>
            <w:r>
              <w:rPr>
                <w:sz w:val="16"/>
              </w:rPr>
              <w:t>Near-zero generation for repeats</w:t>
            </w:r>
          </w:p>
        </w:tc>
        <w:tc>
          <w:tcPr>
            <w:tcW w:type="dxa" w:w="3341"/>
            <w:vAlign w:val="center"/>
          </w:tcPr>
          <w:p>
            <w:pPr>
              <w:spacing w:after="20"/>
            </w:pPr>
            <w:r>
              <w:rPr>
                <w:sz w:val="16"/>
              </w:rPr>
              <w:t>Cache key includes manual checksum, relevant symptoms, typed outcomes, prompt version</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pPr>
              <w:spacing w:after="20"/>
            </w:pPr>
            <w:r>
              <w:rPr>
                <w:sz w:val="16"/>
              </w:rPr>
              <w:t>Avoid extra inference when retrieval is clearly sufficient</w:t>
            </w:r>
          </w:p>
        </w:tc>
        <w:tc>
          <w:tcPr>
            <w:tcW w:type="dxa" w:w="3341"/>
            <w:vAlign w:val="center"/>
          </w:tcPr>
          <w:p>
            <w:pPr>
              <w:spacing w:after="20"/>
            </w:pPr>
            <w:r>
              <w:rPr>
                <w:sz w:val="16"/>
              </w:rPr>
              <w:t>Benchmark criterion on gold dataset</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Initial benchmarks: text warm p50 &lt;= 2.5 s and p95 &lt;= 5 s; photo p95 &lt;= 10 s; log cold start separately. Measure end-to-end and each stage with p50/p95 and cold/warm split. Provider pricing must be captured at deployment time rather than hardcoded.</w:t>
      </w:r>
    </w:p>
    <w:p>
      <w:pPr>
        <w:pStyle w:val="Heading1"/>
      </w:pPr>
      <w: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Event / span</w:t>
            </w:r>
          </w:p>
        </w:tc>
        <w:tc>
          <w:tcPr>
            <w:tcW w:type="dxa" w:w="5011"/>
            <w:shd w:fill="102238"/>
          </w:tcPr>
          <w:p>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pPr>
              <w:spacing w:after="20"/>
            </w:pPr>
            <w:r>
              <w:rPr>
                <w:sz w:val="16"/>
              </w:rPr>
              <w:t>ranked_ids, verified_edges, added_dependencies,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retrieval outage -&gt; SYSTEM_ERROR; uncertain evidence -&gt; CLARIFY/ABSTAIN; unauthorized/manual mismatch -&gt; block</w:t>
      </w:r>
    </w:p>
    <w:p>
      <w:pPr>
        <w:pStyle w:val="Heading1"/>
      </w:pPr>
      <w: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Experiment</w:t>
            </w:r>
          </w:p>
        </w:tc>
        <w:tc>
          <w:tcPr>
            <w:tcW w:type="dxa" w:w="3341"/>
            <w:shd w:fill="102238"/>
          </w:tcPr>
          <w:p>
            <w:r>
              <w:rPr>
                <w:b/>
                <w:color w:val="FFFFFF"/>
                <w:sz w:val="16"/>
              </w:rPr>
              <w:t>Independent variable</w:t>
            </w:r>
          </w:p>
        </w:tc>
        <w:tc>
          <w:tcPr>
            <w:tcW w:type="dxa" w:w="3341"/>
            <w:shd w:fill="102238"/>
          </w:tcPr>
          <w:p>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pPr>
              <w:spacing w:after="20"/>
            </w:pPr>
            <w:r>
              <w:rPr>
                <w:sz w:val="16"/>
              </w:rPr>
              <w:t>No reranker vs cross-encoder vs late-interaction</w:t>
            </w:r>
          </w:p>
        </w:tc>
        <w:tc>
          <w:tcPr>
            <w:tcW w:type="dxa" w:w="3341"/>
            <w:vAlign w:val="center"/>
            <w:shd w:fill="F3F6FA"/>
          </w:tcPr>
          <w:p>
            <w:pPr>
              <w:spacing w:after="20"/>
            </w:pPr>
            <w:r>
              <w:rPr>
                <w:sz w:val="16"/>
              </w:rPr>
              <w:t>MRR, recall, p95 and token cost</w:t>
            </w:r>
          </w:p>
        </w:tc>
      </w:tr>
      <w:tr>
        <w:trPr>
          <w:cantSplit/>
        </w:trPr>
        <w:tc>
          <w:tcPr>
            <w:tcW w:type="dxa" w:w="3341"/>
            <w:vAlign w:val="center"/>
          </w:tcPr>
          <w:p>
            <w:pPr>
              <w:spacing w:after="20"/>
            </w:pPr>
            <w:r>
              <w:rPr>
                <w:sz w:val="16"/>
              </w:rPr>
              <w:t>E4</w:t>
            </w:r>
          </w:p>
        </w:tc>
        <w:tc>
          <w:tcPr>
            <w:tcW w:type="dxa" w:w="3341"/>
            <w:vAlign w:val="center"/>
          </w:tcPr>
          <w:p>
            <w:pPr>
              <w:spacing w:after="20"/>
            </w:pPr>
            <w:r>
              <w:rPr>
                <w:sz w:val="16"/>
              </w:rPr>
              <w:t>No verifier vs deterministic+semantic support gate</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params, embedding model, index build, graph build, reranker, generator, system prompt, verifier, evaluation set. All comparisons must use the same held-out cases.</w:t>
      </w:r>
    </w:p>
    <w:p>
      <w:pPr>
        <w:pStyle w:val="Heading1"/>
      </w:pPr>
      <w: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sectPr w:rsidR="00FC693F" w:rsidRPr="0006063C" w:rsidSect="00034616">
      <w:headerReference w:type="default" r:id="rId9"/>
      <w:footerReference w:type="default" r:id="rId10"/>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PRE-MANUAL     |     08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7F7B"/>
        <w:sz w:val="16"/>
      </w:rPr>
      <w:t>MOTOMEDIC AI   |   DESIGN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102238"/>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1766A5"/>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7F7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23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526071"/>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