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04  |  To build &amp; evidence plan</w:t>
      </w:r>
    </w:p>
    <w:p>
      <w:pPr>
        <w:pStyle w:val="Subtitle"/>
      </w:pPr>
      <w:r>
        <w:t>Execution inventory, design decisions, scenarios, golden-case framework and release checklist</w:t>
      </w:r>
    </w:p>
    <w:p>
      <w:r>
        <w:rPr>
          <w:b/>
          <w:color w:val="B5631D"/>
          <w:sz w:val="17"/>
        </w:rPr>
        <w:t>DRAFT  v0.2    •    Owner-manual prototype; independent review and variant fit pending</w:t>
      </w:r>
    </w:p>
    <w:p>
      <w:pPr>
        <w:pStyle w:val="Heading1"/>
      </w:pPr>
      <w:r>
        <w:t>1  Documentation and build register</w:t>
      </w:r>
    </w:p>
    <w:p>
      <w:r>
        <w:t>This is the consolidated tracker for everything not separately delivered as the concept architecture, PRD and TRD. It identifies immediate drafting/build tasks, dependencies on the OEM manual, experiment options and the final interview handover package.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pPr>
              <w:spacing w:after="20"/>
            </w:pPr>
            <w:r>
              <w:rPr>
                <w:sz w:val="16"/>
              </w:rPr>
              <w:t>Concept architecture + editable flowchart</w:t>
            </w:r>
          </w:p>
        </w:tc>
        <w:tc>
          <w:tcPr>
            <w:tcW w:type="dxa" w:w="3341"/>
            <w:vAlign w:val="center"/>
          </w:tcPr>
          <w:p>
            <w:pPr>
              <w:spacing w:after="20"/>
            </w:pPr>
            <w:r>
              <w:rPr>
                <w:sz w:val="16"/>
              </w:rPr>
              <w:t>DRAFT COMPLETE</w:t>
            </w:r>
          </w:p>
        </w:tc>
        <w:tc>
          <w:tcPr>
            <w:tcW w:type="dxa" w:w="3341"/>
            <w:vAlign w:val="center"/>
          </w:tcPr>
          <w:p>
            <w:pPr>
              <w:spacing w:after="20"/>
            </w:pPr>
            <w:r>
              <w:rPr>
                <w:sz w:val="16"/>
              </w:rPr>
              <w:t>Review against actual manual</w:t>
            </w:r>
          </w:p>
        </w:tc>
      </w:tr>
      <w:tr>
        <w:trPr>
          <w:cantSplit/>
        </w:trPr>
        <w:tc>
          <w:tcPr>
            <w:tcW w:type="dxa" w:w="3341"/>
            <w:vAlign w:val="center"/>
            <w:shd w:fill="F3F6FA"/>
          </w:tcPr>
          <w:p>
            <w:pPr>
              <w:spacing w:after="20"/>
            </w:pPr>
            <w:r>
              <w:rPr>
                <w:sz w:val="16"/>
              </w:rPr>
              <w:t>PRD and functional acceptance criteria</w:t>
            </w:r>
          </w:p>
        </w:tc>
        <w:tc>
          <w:tcPr>
            <w:tcW w:type="dxa" w:w="3341"/>
            <w:vAlign w:val="center"/>
            <w:shd w:fill="F3F6FA"/>
          </w:tcPr>
          <w:p>
            <w:pPr>
              <w:spacing w:after="20"/>
            </w:pPr>
            <w:r>
              <w:rPr>
                <w:sz w:val="16"/>
              </w:rPr>
              <w:t>DRAFT COMPLETE</w:t>
            </w:r>
          </w:p>
        </w:tc>
        <w:tc>
          <w:tcPr>
            <w:tcW w:type="dxa" w:w="3341"/>
            <w:vAlign w:val="center"/>
            <w:shd w:fill="F3F6FA"/>
          </w:tcPr>
          <w:p>
            <w:pPr>
              <w:spacing w:after="20"/>
            </w:pPr>
            <w:r>
              <w:rPr>
                <w:sz w:val="16"/>
              </w:rPr>
              <w:t>Agree P0 vs P1 once manual is assessed</w:t>
            </w:r>
          </w:p>
        </w:tc>
      </w:tr>
      <w:tr>
        <w:trPr>
          <w:cantSplit/>
        </w:trPr>
        <w:tc>
          <w:tcPr>
            <w:tcW w:type="dxa" w:w="3341"/>
            <w:vAlign w:val="center"/>
          </w:tcPr>
          <w:p>
            <w:pPr>
              <w:spacing w:after="20"/>
            </w:pPr>
            <w:r>
              <w:rPr>
                <w:sz w:val="16"/>
              </w:rPr>
              <w:t>TRD + data and state contracts</w:t>
            </w:r>
          </w:p>
        </w:tc>
        <w:tc>
          <w:tcPr>
            <w:tcW w:type="dxa" w:w="3341"/>
            <w:vAlign w:val="center"/>
          </w:tcPr>
          <w:p>
            <w:pPr>
              <w:spacing w:after="20"/>
            </w:pPr>
            <w:r>
              <w:rPr>
                <w:sz w:val="16"/>
              </w:rPr>
              <w:t>DRAFT COMPLETE</w:t>
            </w:r>
          </w:p>
        </w:tc>
        <w:tc>
          <w:tcPr>
            <w:tcW w:type="dxa" w:w="3341"/>
            <w:vAlign w:val="center"/>
          </w:tcPr>
          <w:p>
            <w:pPr>
              <w:spacing w:after="20"/>
            </w:pPr>
            <w:r>
              <w:rPr>
                <w:sz w:val="16"/>
              </w:rPr>
              <w:t>Validate parsing and model/provider choices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DRAFT: 37 atomic cases; human review pending</w:t>
            </w:r>
          </w:p>
        </w:tc>
        <w:tc>
          <w:tcPr>
            <w:tcW w:type="dxa" w:w="3341"/>
            <w:vAlign w:val="center"/>
          </w:tcPr>
          <w:p>
            <w:pPr>
              <w:spacing w:after="20"/>
            </w:pPr>
            <w:r>
              <w:rPr>
                <w:sz w:val="16"/>
              </w:rPr>
              <w:t>Verified exact citations and expected outcomes</w:t>
            </w:r>
          </w:p>
        </w:tc>
      </w:tr>
      <w:tr>
        <w:trPr>
          <w:cantSplit/>
        </w:trPr>
        <w:tc>
          <w:tcPr>
            <w:tcW w:type="dxa" w:w="3341"/>
            <w:vAlign w:val="center"/>
            <w:shd w:fill="F3F6FA"/>
          </w:tcPr>
          <w:p>
            <w:pPr>
              <w:spacing w:after="20"/>
            </w:pPr>
            <w:r>
              <w:rPr>
                <w:sz w:val="16"/>
              </w:rPr>
              <w:t>Safety, escalation and evidence policy</w:t>
            </w:r>
          </w:p>
        </w:tc>
        <w:tc>
          <w:tcPr>
            <w:tcW w:type="dxa" w:w="3341"/>
            <w:vAlign w:val="center"/>
            <w:shd w:fill="F3F6FA"/>
          </w:tcPr>
          <w:p>
            <w:pPr>
              <w:spacing w:after="20"/>
            </w:pPr>
            <w:r>
              <w:rPr>
                <w:sz w:val="16"/>
              </w:rPr>
              <w:t>DRAFT; HARDEN</w:t>
            </w:r>
          </w:p>
        </w:tc>
        <w:tc>
          <w:tcPr>
            <w:tcW w:type="dxa" w:w="3341"/>
            <w:vAlign w:val="center"/>
            <w:shd w:fill="F3F6FA"/>
          </w:tcPr>
          <w:p>
            <w:pPr>
              <w:spacing w:after="20"/>
            </w:pPr>
            <w:r>
              <w:rPr>
                <w:sz w:val="16"/>
              </w:rPr>
              <w:t>Validate against manual warnings/rights</w:t>
            </w:r>
          </w:p>
        </w:tc>
      </w:tr>
      <w:tr>
        <w:trPr>
          <w:cantSplit/>
        </w:trPr>
        <w:tc>
          <w:tcPr>
            <w:tcW w:type="dxa" w:w="3341"/>
            <w:vAlign w:val="center"/>
          </w:tcPr>
          <w:p>
            <w:pPr>
              <w:spacing w:after="20"/>
            </w:pPr>
            <w:r>
              <w:rPr>
                <w:sz w:val="16"/>
              </w:rPr>
              <w:t>Design choice / alternative log</w:t>
            </w:r>
          </w:p>
        </w:tc>
        <w:tc>
          <w:tcPr>
            <w:tcW w:type="dxa" w:w="3341"/>
            <w:vAlign w:val="center"/>
          </w:tcPr>
          <w:p>
            <w:pPr>
              <w:spacing w:after="20"/>
            </w:pPr>
            <w:r>
              <w:rPr>
                <w:sz w:val="16"/>
              </w:rPr>
              <w:t>SEE SECTION 3</w:t>
            </w:r>
          </w:p>
        </w:tc>
        <w:tc>
          <w:tcPr>
            <w:tcW w:type="dxa" w:w="3341"/>
            <w:vAlign w:val="center"/>
          </w:tcPr>
          <w:p>
            <w:pPr>
              <w:spacing w:after="20"/>
            </w:pPr>
            <w:r>
              <w:rPr>
                <w:sz w:val="16"/>
              </w:rPr>
              <w:t>Benchmark assumptions and update ADRs</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pPr>
              <w:spacing w:after="20"/>
            </w:pPr>
            <w:r>
              <w:rPr>
                <w:sz w:val="16"/>
              </w:rPr>
              <w:t>SEE SECTION 4</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pPr>
              <w:spacing w:after="20"/>
            </w:pPr>
            <w:r>
              <w:rPr>
                <w:sz w:val="16"/>
              </w:rPr>
              <w:t>Ingestion QA checklist</w:t>
            </w:r>
          </w:p>
        </w:tc>
        <w:tc>
          <w:tcPr>
            <w:tcW w:type="dxa" w:w="3341"/>
            <w:vAlign w:val="center"/>
          </w:tcPr>
          <w:p>
            <w:pPr>
              <w:spacing w:after="20"/>
            </w:pPr>
            <w:r>
              <w:rPr>
                <w:sz w:val="16"/>
              </w:rPr>
              <w:t>TO BUILD</w:t>
            </w:r>
          </w:p>
        </w:tc>
        <w:tc>
          <w:tcPr>
            <w:tcW w:type="dxa" w:w="3341"/>
            <w:vAlign w:val="center"/>
          </w:tcPr>
          <w:p>
            <w:pPr>
              <w:spacing w:after="20"/>
            </w:pPr>
            <w:r>
              <w:rPr>
                <w:sz w:val="16"/>
              </w:rPr>
              <w:t>Coverage review of tables, figures, warnings</w:t>
            </w:r>
          </w:p>
        </w:tc>
      </w:tr>
      <w:tr>
        <w:trPr>
          <w:cantSplit/>
        </w:trPr>
        <w:tc>
          <w:tcPr>
            <w:tcW w:type="dxa" w:w="3341"/>
            <w:vAlign w:val="center"/>
            <w:shd w:fill="F3F6FA"/>
          </w:tcPr>
          <w:p>
            <w:pPr>
              <w:spacing w:after="20"/>
            </w:pPr>
            <w:r>
              <w:rPr>
                <w:sz w:val="16"/>
              </w:rPr>
              <w:t>Evaluation run and ablation report</w:t>
            </w:r>
          </w:p>
        </w:tc>
        <w:tc>
          <w:tcPr>
            <w:tcW w:type="dxa" w:w="3341"/>
            <w:vAlign w:val="center"/>
            <w:shd w:fill="F3F6FA"/>
          </w:tcPr>
          <w:p>
            <w:pPr>
              <w:spacing w:after="20"/>
            </w:pPr>
            <w:r>
              <w:rPr>
                <w:sz w:val="16"/>
              </w:rPr>
              <w:t>TO BUILD</w:t>
            </w:r>
          </w:p>
        </w:tc>
        <w:tc>
          <w:tcPr>
            <w:tcW w:type="dxa" w:w="3341"/>
            <w:vAlign w:val="center"/>
            <w:shd w:fill="F3F6FA"/>
          </w:tcPr>
          <w:p>
            <w:pPr>
              <w:spacing w:after="20"/>
            </w:pPr>
            <w:r>
              <w:rPr>
                <w:sz w:val="16"/>
              </w:rPr>
              <w:t>Reproducible comparison on same gold set</w:t>
            </w:r>
          </w:p>
        </w:tc>
      </w:tr>
      <w:tr>
        <w:trPr>
          <w:cantSplit/>
        </w:trPr>
        <w:tc>
          <w:tcPr>
            <w:tcW w:type="dxa" w:w="3341"/>
            <w:vAlign w:val="center"/>
          </w:tcPr>
          <w:p>
            <w:pPr>
              <w:spacing w:after="20"/>
            </w:pPr>
            <w:r>
              <w:rPr>
                <w:sz w:val="16"/>
              </w:rPr>
              <w:t>Security/privacy / misuse tests</w:t>
            </w:r>
          </w:p>
        </w:tc>
        <w:tc>
          <w:tcPr>
            <w:tcW w:type="dxa" w:w="3341"/>
            <w:vAlign w:val="center"/>
          </w:tcPr>
          <w:p>
            <w:pPr>
              <w:spacing w:after="20"/>
            </w:pPr>
            <w:r>
              <w:rPr>
                <w:sz w:val="16"/>
              </w:rPr>
              <w:t>TO BUILD</w:t>
            </w:r>
          </w:p>
        </w:tc>
        <w:tc>
          <w:tcPr>
            <w:tcW w:type="dxa" w:w="3341"/>
            <w:vAlign w:val="center"/>
          </w:tcPr>
          <w:p>
            <w:pPr>
              <w:spacing w:after="20"/>
            </w:pPr>
            <w:r>
              <w:rPr>
                <w:sz w:val="16"/>
              </w:rPr>
              <w:t>Prompt injection, media handling, credentials</w:t>
            </w:r>
          </w:p>
        </w:tc>
      </w:tr>
      <w:tr>
        <w:trPr>
          <w:cantSplit/>
        </w:trPr>
        <w:tc>
          <w:tcPr>
            <w:tcW w:type="dxa" w:w="3341"/>
            <w:vAlign w:val="center"/>
            <w:shd w:fill="F3F6FA"/>
          </w:tcPr>
          <w:p>
            <w:pPr>
              <w:spacing w:after="20"/>
            </w:pPr>
            <w:r>
              <w:rPr>
                <w:sz w:val="16"/>
              </w:rPr>
              <w:t>Deployment &amp; public demo guide</w:t>
            </w:r>
          </w:p>
        </w:tc>
        <w:tc>
          <w:tcPr>
            <w:tcW w:type="dxa" w:w="3341"/>
            <w:vAlign w:val="center"/>
            <w:shd w:fill="F3F6FA"/>
          </w:tcPr>
          <w:p>
            <w:pPr>
              <w:spacing w:after="20"/>
            </w:pPr>
            <w:r>
              <w:rPr>
                <w:sz w:val="16"/>
              </w:rPr>
              <w:t>TO BUILD</w:t>
            </w:r>
          </w:p>
        </w:tc>
        <w:tc>
          <w:tcPr>
            <w:tcW w:type="dxa" w:w="3341"/>
            <w:vAlign w:val="center"/>
            <w:shd w:fill="F3F6FA"/>
          </w:tcPr>
          <w:p>
            <w:pPr>
              <w:spacing w:after="20"/>
            </w:pPr>
            <w:r>
              <w:rPr>
                <w:sz w:val="16"/>
              </w:rPr>
              <w:t>Live URL plus smoke test</w:t>
            </w:r>
          </w:p>
        </w:tc>
      </w:tr>
      <w:tr>
        <w:trPr>
          <w:cantSplit/>
        </w:trPr>
        <w:tc>
          <w:tcPr>
            <w:tcW w:type="dxa" w:w="3341"/>
            <w:vAlign w:val="center"/>
          </w:tcPr>
          <w:p>
            <w:pPr>
              <w:spacing w:after="20"/>
            </w:pPr>
            <w:r>
              <w:rPr>
                <w:sz w:val="16"/>
              </w:rPr>
              <w:t>README / known limitations / demo script</w:t>
            </w:r>
          </w:p>
        </w:tc>
        <w:tc>
          <w:tcPr>
            <w:tcW w:type="dxa" w:w="3341"/>
            <w:vAlign w:val="center"/>
          </w:tcPr>
          <w:p>
            <w:pPr>
              <w:spacing w:after="20"/>
            </w:pPr>
            <w:r>
              <w:rPr>
                <w:sz w:val="16"/>
              </w:rPr>
              <w:t>TO BUILD</w:t>
            </w:r>
          </w:p>
        </w:tc>
        <w:tc>
          <w:tcPr>
            <w:tcW w:type="dxa" w:w="3341"/>
            <w:vAlign w:val="center"/>
          </w:tcPr>
          <w:p>
            <w:pPr>
              <w:spacing w:after="20"/>
            </w:pPr>
            <w:r>
              <w:rPr>
                <w:sz w:val="16"/>
              </w:rPr>
              <w:t>Independent handover reproducible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DRAFT: verify variant and rights</w:t>
            </w:r>
          </w:p>
        </w:tc>
        <w:tc>
          <w:tcPr>
            <w:tcW w:type="dxa" w:w="3341"/>
            <w:vAlign w:val="center"/>
            <w:shd w:fill="F3F6FA"/>
          </w:tcPr>
          <w:p>
            <w:pPr>
              <w:spacing w:after="20"/>
            </w:pPr>
            <w:r>
              <w:rPr>
                <w:sz w:val="16"/>
              </w:rPr>
              <w:t>Checksum, edition, citation provenance, rights</w:t>
            </w:r>
          </w:p>
        </w:tc>
      </w:tr>
      <w:tr>
        <w:tc>
          <w:tcPr>
            <w:tcW w:type="dxa" w:w="3341"/>
          </w:tcPr>
          <w:p>
            <w:r>
              <w:t>Guardrail implementation and safety regression suite</w:t>
            </w:r>
          </w:p>
        </w:tc>
        <w:tc>
          <w:tcPr>
            <w:tcW w:type="dxa" w:w="3341"/>
          </w:tcPr>
          <w:p>
            <w:r>
              <w:t>TO BUILD; design added in section 11</w:t>
            </w:r>
          </w:p>
        </w:tc>
        <w:tc>
          <w:tcPr>
            <w:tcW w:type="dxa" w:w="3341"/>
          </w:tcPr>
          <w:p>
            <w:r>
              <w:t>All G-01 through G-09 checks pass against reviewed cases, including cache invalidation and error-state tests</w:t>
            </w:r>
          </w:p>
        </w:tc>
      </w:tr>
    </w:tbl>
    <w:p>
      <w:pPr>
        <w:spacing w:after="0"/>
      </w:pPr>
    </w:p>
    <w:p>
      <w:pPr>
        <w:pStyle w:val="Heading1"/>
      </w:pPr>
      <w: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pPr>
              <w:spacing w:after="20"/>
            </w:pPr>
            <w:r>
              <w:rPr>
                <w:sz w:val="16"/>
              </w:rPr>
              <w:t>ANSWER</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pPr>
              <w:spacing w:after="20"/>
            </w:pPr>
            <w:r>
              <w:rPr>
                <w:sz w:val="16"/>
              </w:rPr>
              <w:t>CLARIFY</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pPr>
              <w:spacing w:after="20"/>
            </w:pPr>
            <w:r>
              <w:rPr>
                <w:sz w:val="16"/>
              </w:rPr>
              <w:t>NEXT_ELIGIBLE</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pPr>
              <w:spacing w:after="20"/>
            </w:pPr>
            <w:r>
              <w:rPr>
                <w:sz w:val="16"/>
              </w:rPr>
              <w:t>NEXT_ELIGIBLE</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pPr>
              <w:spacing w:after="20"/>
            </w:pPr>
            <w:r>
              <w:rPr>
                <w:sz w:val="16"/>
              </w:rPr>
              <w:t>CLARIFY/ABSTAIN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pPr>
              <w:spacing w:after="20"/>
            </w:pPr>
            <w:r>
              <w:rPr>
                <w:sz w:val="16"/>
              </w:rPr>
              <w:t>ANSWER</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pPr>
              <w:spacing w:after="20"/>
            </w:pPr>
            <w:r>
              <w:rPr>
                <w:sz w:val="16"/>
              </w:rPr>
              <w:t>CLARIFY</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pPr>
              <w:spacing w:after="20"/>
            </w:pPr>
            <w:r>
              <w:rPr>
                <w:sz w:val="16"/>
              </w:rPr>
              <w:t>ABSTAIN+OEM</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pPr>
              <w:spacing w:after="20"/>
            </w:pPr>
            <w:r>
              <w:rPr>
                <w:sz w:val="16"/>
              </w:rPr>
              <w:t>REPLAN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pPr>
              <w:spacing w:after="20"/>
            </w:pPr>
            <w:r>
              <w:rPr>
                <w:sz w:val="16"/>
              </w:rPr>
              <w:t>REPLAN</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pPr>
              <w:spacing w:after="20"/>
            </w:pPr>
            <w:r>
              <w:rPr>
                <w:sz w:val="16"/>
              </w:rPr>
              <w:t>MUST NOT REPEAT</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pPr>
              <w:spacing w:after="20"/>
            </w:pPr>
            <w:r>
              <w:rPr>
                <w:sz w:val="16"/>
              </w:rPr>
              <w:t>CLARIFY/ABSTAIN</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pPr>
              <w:spacing w:after="20"/>
            </w:pPr>
            <w:r>
              <w:rPr>
                <w:sz w:val="16"/>
              </w:rPr>
              <w:t>ANSWER/CLARIFY</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pPr>
              <w:spacing w:after="20"/>
            </w:pPr>
            <w:r>
              <w:rPr>
                <w:sz w:val="16"/>
              </w:rPr>
              <w:t>CLARIFY</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pPr>
              <w:spacing w:after="20"/>
            </w:pPr>
            <w:r>
              <w:rPr>
                <w:sz w:val="16"/>
              </w:rPr>
              <w:t>BLOCK/CLARIFY</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pPr>
              <w:spacing w:after="20"/>
            </w:pPr>
            <w:r>
              <w:rPr>
                <w:sz w:val="16"/>
              </w:rPr>
              <w:t>ANSWER</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pPr>
              <w:spacing w:after="20"/>
            </w:pPr>
            <w:r>
              <w:rPr>
                <w:sz w:val="16"/>
              </w:rPr>
              <w:t>ANSWER+WARNING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pPr>
              <w:spacing w:after="20"/>
            </w:pPr>
            <w:r>
              <w:rPr>
                <w:sz w:val="16"/>
              </w:rPr>
              <w:t>ANSWER WITH BOTH</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pPr>
              <w:spacing w:after="20"/>
            </w:pPr>
            <w:r>
              <w:rPr>
                <w:sz w:val="16"/>
              </w:rPr>
              <w:t>ABSTAIN/REVIEW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pPr>
              <w:spacing w:after="20"/>
            </w:pPr>
            <w:r>
              <w:rPr>
                <w:sz w:val="16"/>
              </w:rPr>
              <w:t>CLARIFY/REVIEW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pPr>
              <w:spacing w:after="20"/>
            </w:pPr>
            <w:r>
              <w:rPr>
                <w:sz w:val="16"/>
              </w:rPr>
              <w:t>ABSTAIN+OEM</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pPr>
              <w:spacing w:after="20"/>
            </w:pPr>
            <w:r>
              <w:rPr>
                <w:sz w:val="16"/>
              </w:rPr>
              <w:t>ABSTAIN+OEM</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pPr>
              <w:spacing w:after="20"/>
            </w:pPr>
            <w:r>
              <w:rPr>
                <w:sz w:val="16"/>
              </w:rPr>
              <w:t>BLOCK</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pPr>
              <w:spacing w:after="20"/>
            </w:pPr>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pPr>
              <w:spacing w:after="20"/>
            </w:pPr>
            <w:r>
              <w:rPr>
                <w:sz w:val="16"/>
              </w:rPr>
              <w:t>CLARIFY/ABSTAIN</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pPr>
              <w:spacing w:after="20"/>
            </w:pPr>
            <w:r>
              <w:rPr>
                <w:sz w:val="16"/>
              </w:rPr>
              <w:t>IGNORE INJECTION</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pPr>
              <w:spacing w:after="20"/>
            </w:pPr>
            <w:r>
              <w:rPr>
                <w:sz w:val="16"/>
              </w:rPr>
              <w:t>IGNORE INJECTION</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pPr>
              <w:spacing w:after="20"/>
            </w:pPr>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pPr>
              <w:spacing w:after="20"/>
            </w:pPr>
            <w:r>
              <w:rPr>
                <w:sz w:val="16"/>
              </w:rPr>
              <w:t>RECONFIRM</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pPr>
              <w:spacing w:after="20"/>
            </w:pPr>
            <w:r>
              <w:rPr>
                <w:sz w:val="16"/>
              </w:rPr>
              <w:t>CONFIRM TRANSCRIPT</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pPr>
              <w:spacing w:after="20"/>
            </w:pPr>
            <w:r>
              <w:rPr>
                <w:sz w:val="16"/>
              </w:rPr>
              <w:t>CLOSE</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pPr>
              <w:spacing w:after="20"/>
            </w:pPr>
            <w:r>
              <w:rPr>
                <w:sz w:val="16"/>
              </w:rPr>
              <w:t>ABSTAIN+OEM</w:t>
            </w:r>
          </w:p>
        </w:tc>
        <w:tc>
          <w:tcPr>
            <w:tcW w:type="dxa" w:w="2505"/>
            <w:vAlign w:val="center"/>
            <w:shd w:fill="F3F6FA"/>
          </w:tcPr>
          <w:p>
            <w:pPr>
              <w:spacing w:after="20"/>
            </w:pPr>
            <w:r>
              <w:rPr>
                <w:sz w:val="16"/>
              </w:rPr>
              <w:t>Grounding</w:t>
            </w:r>
          </w:p>
        </w:tc>
      </w:tr>
    </w:tbl>
    <w:p>
      <w:pPr>
        <w:spacing w:after="0"/>
      </w:pPr>
    </w:p>
    <w:p>
      <w:pPr>
        <w:pStyle w:val="Heading1"/>
      </w:pPr>
      <w: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pPr>
              <w:spacing w:after="20"/>
            </w:pPr>
            <w:r>
              <w:rPr>
                <w:sz w:val="16"/>
              </w:rPr>
              <w:t>ADR-01 Parser</w:t>
            </w:r>
          </w:p>
        </w:tc>
        <w:tc>
          <w:tcPr>
            <w:tcW w:type="dxa" w:w="3341"/>
            <w:vAlign w:val="center"/>
          </w:tcPr>
          <w:p>
            <w:pPr>
              <w:spacing w:after="20"/>
            </w:pPr>
            <w:r>
              <w:rPr>
                <w:sz w:val="16"/>
              </w:rPr>
              <w:t>Docling layout-aware</w:t>
            </w:r>
          </w:p>
        </w:tc>
        <w:tc>
          <w:tcPr>
            <w:tcW w:type="dxa" w:w="3341"/>
            <w:vAlign w:val="center"/>
          </w:tcPr>
          <w:p>
            <w:pPr>
              <w:spacing w:after="20"/>
            </w:pPr>
            <w:r>
              <w:rPr>
                <w:sz w:val="16"/>
              </w:rPr>
              <w:t>Google Document AI if critical tables and figures repeatedly fail extraction</w:t>
            </w:r>
          </w:p>
        </w:tc>
      </w:tr>
      <w:tr>
        <w:trPr>
          <w:cantSplit/>
        </w:trPr>
        <w:tc>
          <w:tcPr>
            <w:tcW w:type="dxa" w:w="3341"/>
            <w:vAlign w:val="center"/>
            <w:shd w:fill="F3F6FA"/>
          </w:tcPr>
          <w:p>
            <w:pPr>
              <w:spacing w:after="20"/>
            </w:pPr>
            <w:r>
              <w:rPr>
                <w:sz w:val="16"/>
              </w:rPr>
              <w:t>ADR-02 Chunking</w:t>
            </w:r>
          </w:p>
        </w:tc>
        <w:tc>
          <w:tcPr>
            <w:tcW w:type="dxa" w:w="3341"/>
            <w:vAlign w:val="center"/>
            <w:shd w:fill="F3F6FA"/>
          </w:tcPr>
          <w:p>
            <w:pPr>
              <w:spacing w:after="20"/>
            </w:pPr>
            <w:r>
              <w:rPr>
                <w:sz w:val="16"/>
              </w:rPr>
              <w:t>Typed, hierarchical parent-child</w:t>
            </w:r>
          </w:p>
        </w:tc>
        <w:tc>
          <w:tcPr>
            <w:tcW w:type="dxa" w:w="3341"/>
            <w:vAlign w:val="center"/>
            <w:shd w:fill="F3F6FA"/>
          </w:tcPr>
          <w:p>
            <w:pPr>
              <w:spacing w:after="20"/>
            </w:pPr>
            <w:r>
              <w:rPr>
                <w:sz w:val="16"/>
              </w:rPr>
              <w:t>Fixed-size / late chunking if gold-set complete evidence recall improves</w:t>
            </w:r>
          </w:p>
        </w:tc>
      </w:tr>
      <w:tr>
        <w:trPr>
          <w:cantSplit/>
        </w:trPr>
        <w:tc>
          <w:tcPr>
            <w:tcW w:type="dxa" w:w="3341"/>
            <w:vAlign w:val="center"/>
          </w:tcPr>
          <w:p>
            <w:pPr>
              <w:spacing w:after="20"/>
            </w:pPr>
            <w:r>
              <w:rPr>
                <w:sz w:val="16"/>
              </w:rPr>
              <w:t>ADR-03 Retrieval</w:t>
            </w:r>
          </w:p>
        </w:tc>
        <w:tc>
          <w:tcPr>
            <w:tcW w:type="dxa" w:w="3341"/>
            <w:vAlign w:val="center"/>
          </w:tcPr>
          <w:p>
            <w:pPr>
              <w:spacing w:after="20"/>
            </w:pPr>
            <w:r>
              <w:rPr>
                <w:sz w:val="16"/>
              </w:rPr>
              <w:t>Dense + BM25 with RRF</w:t>
            </w:r>
          </w:p>
        </w:tc>
        <w:tc>
          <w:tcPr>
            <w:tcW w:type="dxa" w:w="3341"/>
            <w:vAlign w:val="center"/>
          </w:tcPr>
          <w:p>
            <w:pPr>
              <w:spacing w:after="20"/>
            </w:pPr>
            <w:r>
              <w:rPr>
                <w:sz w:val="16"/>
              </w:rPr>
              <w:t>Dense only if no measurable gain; sparse emphasis for code-heavy manuals</w:t>
            </w:r>
          </w:p>
        </w:tc>
      </w:tr>
      <w:tr>
        <w:trPr>
          <w:cantSplit/>
        </w:trPr>
        <w:tc>
          <w:tcPr>
            <w:tcW w:type="dxa" w:w="3341"/>
            <w:vAlign w:val="center"/>
            <w:shd w:fill="F3F6FA"/>
          </w:tcPr>
          <w:p>
            <w:pPr>
              <w:spacing w:after="20"/>
            </w:pPr>
            <w:r>
              <w:rPr>
                <w:sz w:val="16"/>
              </w:rPr>
              <w:t>ADR-04 Embeddings</w:t>
            </w:r>
          </w:p>
        </w:tc>
        <w:tc>
          <w:tcPr>
            <w:tcW w:type="dxa" w:w="3341"/>
            <w:vAlign w:val="center"/>
            <w:shd w:fill="F3F6FA"/>
          </w:tcPr>
          <w:p>
            <w:pPr>
              <w:spacing w:after="20"/>
            </w:pPr>
            <w:r>
              <w:rPr>
                <w:sz w:val="16"/>
              </w:rPr>
              <w:t>Compact embedding baseline, query/document compatible</w:t>
            </w:r>
          </w:p>
        </w:tc>
        <w:tc>
          <w:tcPr>
            <w:tcW w:type="dxa" w:w="3341"/>
            <w:vAlign w:val="center"/>
            <w:shd w:fill="F3F6FA"/>
          </w:tcPr>
          <w:p>
            <w:pPr>
              <w:spacing w:after="20"/>
            </w:pPr>
            <w:r>
              <w:rPr>
                <w:sz w:val="16"/>
              </w:rPr>
              <w:t>Domain embedding, Matryoshka or BGE-M3 if eval lift offsets ops cost</w:t>
            </w:r>
          </w:p>
        </w:tc>
      </w:tr>
      <w:tr>
        <w:trPr>
          <w:cantSplit/>
        </w:trPr>
        <w:tc>
          <w:tcPr>
            <w:tcW w:type="dxa" w:w="3341"/>
            <w:vAlign w:val="center"/>
          </w:tcPr>
          <w:p>
            <w:pPr>
              <w:spacing w:after="20"/>
            </w:pPr>
            <w:r>
              <w:rPr>
                <w:sz w:val="16"/>
              </w:rPr>
              <w:t>ADR-05 Links</w:t>
            </w:r>
          </w:p>
        </w:tc>
        <w:tc>
          <w:tcPr>
            <w:tcW w:type="dxa" w:w="3341"/>
            <w:vAlign w:val="center"/>
          </w:tcPr>
          <w:p>
            <w:pPr>
              <w:spacing w:after="20"/>
            </w:pPr>
            <w:r>
              <w:rPr>
                <w:sz w:val="16"/>
              </w:rPr>
              <w:t>Verified section/reference graph</w:t>
            </w:r>
          </w:p>
        </w:tc>
        <w:tc>
          <w:tcPr>
            <w:tcW w:type="dxa" w:w="3341"/>
            <w:vAlign w:val="center"/>
          </w:tcPr>
          <w:p>
            <w:pPr>
              <w:spacing w:after="20"/>
            </w:pPr>
            <w:r>
              <w:rPr>
                <w:sz w:val="16"/>
              </w:rPr>
              <w:t>Full GraphRAG only if source scale and complex relations justify complexity</w:t>
            </w:r>
          </w:p>
        </w:tc>
      </w:tr>
      <w:tr>
        <w:trPr>
          <w:cantSplit/>
        </w:trPr>
        <w:tc>
          <w:tcPr>
            <w:tcW w:type="dxa" w:w="3341"/>
            <w:vAlign w:val="center"/>
            <w:shd w:fill="F3F6FA"/>
          </w:tcPr>
          <w:p>
            <w:pPr>
              <w:spacing w:after="20"/>
            </w:pPr>
            <w:r>
              <w:rPr>
                <w:sz w:val="16"/>
              </w:rPr>
              <w:t>ADR-06 Rerank</w:t>
            </w:r>
          </w:p>
        </w:tc>
        <w:tc>
          <w:tcPr>
            <w:tcW w:type="dxa" w:w="3341"/>
            <w:vAlign w:val="center"/>
            <w:shd w:fill="F3F6FA"/>
          </w:tcPr>
          <w:p>
            <w:pPr>
              <w:spacing w:after="20"/>
            </w:pPr>
            <w:r>
              <w:rPr>
                <w:sz w:val="16"/>
              </w:rPr>
              <w:t>Conditional cross-encoder</w:t>
            </w:r>
          </w:p>
        </w:tc>
        <w:tc>
          <w:tcPr>
            <w:tcW w:type="dxa" w:w="3341"/>
            <w:vAlign w:val="center"/>
            <w:shd w:fill="F3F6FA"/>
          </w:tcPr>
          <w:p>
            <w:pPr>
              <w:spacing w:after="20"/>
            </w:pPr>
            <w:r>
              <w:rPr>
                <w:sz w:val="16"/>
              </w:rPr>
              <w:t>No rerank when marginal lift low; ColBERT for recall/precision gains at acceptable latency</w:t>
            </w:r>
          </w:p>
        </w:tc>
      </w:tr>
      <w:tr>
        <w:trPr>
          <w:cantSplit/>
        </w:trPr>
        <w:tc>
          <w:tcPr>
            <w:tcW w:type="dxa" w:w="3341"/>
            <w:vAlign w:val="center"/>
          </w:tcPr>
          <w:p>
            <w:pPr>
              <w:spacing w:after="20"/>
            </w:pPr>
            <w:r>
              <w:rPr>
                <w:sz w:val="16"/>
              </w:rPr>
              <w:t>ADR-07 Sufficiency</w:t>
            </w:r>
          </w:p>
        </w:tc>
        <w:tc>
          <w:tcPr>
            <w:tcW w:type="dxa" w:w="3341"/>
            <w:vAlign w:val="center"/>
          </w:tcPr>
          <w:p>
            <w:pPr>
              <w:spacing w:after="20"/>
            </w:pPr>
            <w:r>
              <w:rPr>
                <w:sz w:val="16"/>
              </w:rPr>
              <w:t>Rules + semantic support verifier</w:t>
            </w:r>
          </w:p>
        </w:tc>
        <w:tc>
          <w:tcPr>
            <w:tcW w:type="dxa" w:w="3341"/>
            <w:vAlign w:val="center"/>
          </w:tcPr>
          <w:p>
            <w:pPr>
              <w:spacing w:after="20"/>
            </w:pPr>
            <w:r>
              <w:rPr>
                <w:sz w:val="16"/>
              </w:rPr>
              <w:t>More constrained templates if false-supported claims persist</w:t>
            </w:r>
          </w:p>
        </w:tc>
      </w:tr>
      <w:tr>
        <w:trPr>
          <w:cantSplit/>
        </w:trPr>
        <w:tc>
          <w:tcPr>
            <w:tcW w:type="dxa" w:w="3341"/>
            <w:vAlign w:val="center"/>
            <w:shd w:fill="F3F6FA"/>
          </w:tcPr>
          <w:p>
            <w:pPr>
              <w:spacing w:after="20"/>
            </w:pPr>
            <w:r>
              <w:rPr>
                <w:sz w:val="16"/>
              </w:rPr>
              <w:t>ADR-08 Stateful dialog</w:t>
            </w:r>
          </w:p>
        </w:tc>
        <w:tc>
          <w:tcPr>
            <w:tcW w:type="dxa" w:w="3341"/>
            <w:vAlign w:val="center"/>
            <w:shd w:fill="F3F6FA"/>
          </w:tcPr>
          <w:p>
            <w:pPr>
              <w:spacing w:after="20"/>
            </w:pPr>
            <w:r>
              <w:rPr>
                <w:sz w:val="16"/>
              </w:rPr>
              <w:t>Deterministic controller + typed outcomes</w:t>
            </w:r>
          </w:p>
        </w:tc>
        <w:tc>
          <w:tcPr>
            <w:tcW w:type="dxa" w:w="3341"/>
            <w:vAlign w:val="center"/>
            <w:shd w:fill="F3F6FA"/>
          </w:tcPr>
          <w:p>
            <w:pPr>
              <w:spacing w:after="20"/>
            </w:pPr>
            <w:r>
              <w:rPr>
                <w:sz w:val="16"/>
              </w:rPr>
              <w:t>LLM planning only if manual is unstructured and a benchmark demonstrates improvement</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pPr>
              <w:spacing w:after="20"/>
            </w:pPr>
            <w:r>
              <w:rPr>
                <w:sz w:val="16"/>
              </w:rPr>
              <w:t>ADR-11 Hosting</w:t>
            </w:r>
          </w:p>
        </w:tc>
        <w:tc>
          <w:tcPr>
            <w:tcW w:type="dxa" w:w="3341"/>
            <w:vAlign w:val="center"/>
          </w:tcPr>
          <w:p>
            <w:pPr>
              <w:spacing w:after="20"/>
            </w:pPr>
            <w:r>
              <w:rPr>
                <w:sz w:val="16"/>
              </w:rPr>
              <w:t>Streamlit Community Cloud + Python core</w:t>
            </w:r>
          </w:p>
        </w:tc>
        <w:tc>
          <w:tcPr>
            <w:tcW w:type="dxa" w:w="3341"/>
            <w:vAlign w:val="center"/>
          </w:tcPr>
          <w:p>
            <w:pPr>
              <w:spacing w:after="20"/>
            </w:pPr>
            <w:r>
              <w:rPr>
                <w:sz w:val="16"/>
              </w:rPr>
              <w:t>Hugging Face Spaces / FastAPI + managed cloud for stability or concurrency</w:t>
            </w:r>
          </w:p>
        </w:tc>
      </w:tr>
      <w:tr>
        <w:trPr>
          <w:cantSplit/>
        </w:trPr>
        <w:tc>
          <w:tcPr>
            <w:tcW w:type="dxa" w:w="3341"/>
            <w:vAlign w:val="center"/>
            <w:shd w:fill="F3F6FA"/>
          </w:tcPr>
          <w:p>
            <w:pPr>
              <w:spacing w:after="20"/>
            </w:pPr>
            <w:r>
              <w:rPr>
                <w:sz w:val="16"/>
              </w:rPr>
              <w:t>ADR-12 Observability</w:t>
            </w:r>
          </w:p>
        </w:tc>
        <w:tc>
          <w:tcPr>
            <w:tcW w:type="dxa" w:w="3341"/>
            <w:vAlign w:val="center"/>
            <w:shd w:fill="F3F6FA"/>
          </w:tcPr>
          <w:p>
            <w:pPr>
              <w:spacing w:after="20"/>
            </w:pPr>
            <w:r>
              <w:rPr>
                <w:sz w:val="16"/>
              </w:rPr>
              <w:t>OpenTelemetry + Langfuse-style eval backend</w:t>
            </w:r>
          </w:p>
        </w:tc>
        <w:tc>
          <w:tcPr>
            <w:tcW w:type="dxa" w:w="3341"/>
            <w:vAlign w:val="center"/>
            <w:shd w:fill="F3F6FA"/>
          </w:tcPr>
          <w:p>
            <w:pPr>
              <w:spacing w:after="20"/>
            </w:pPr>
            <w:r>
              <w:rPr>
                <w:sz w:val="16"/>
              </w:rPr>
              <w:t>Simple JSONL first if backend setup overhead outweighs demo benefit</w:t>
            </w:r>
          </w:p>
        </w:tc>
      </w:tr>
    </w:tbl>
    <w:p>
      <w:pPr>
        <w:spacing w:after="0"/>
      </w:pPr>
    </w:p>
    <w:p>
      <w:r>
        <w:t>Every ADR will later record date, dataset ID, measured delta in complete evidence recall, false-supported claim count, p95 latency and cost per correctly handled case. None of these selections should be described as experimentally proven yet.</w:t>
      </w:r>
    </w:p>
    <w:p>
      <w:pPr>
        <w:pStyle w:val="Heading1"/>
      </w:pPr>
      <w:r>
        <w:t>4  Golden-answer dataset: provisional atomic cases</w:t>
      </w:r>
    </w:p>
    <w:p>
      <w:r>
        <w:t>Do not invent OEM facts. The supplied owner's manual has been indexed provisionally, and 37 atomic dialogue and lookup cases are drafted with source pages. Independently review their spans, outcomes and variant fit before approval; expand toward 50–100 cases, adding photograph scenarios only where evidence supports them.</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pPr>
              <w:spacing w:after="20"/>
            </w:pPr>
            <w:r>
              <w:rPr>
                <w:sz w:val="16"/>
              </w:rPr>
              <w:t>expected_route</w:t>
            </w:r>
          </w:p>
        </w:tc>
        <w:tc>
          <w:tcPr>
            <w:tcW w:type="dxa" w:w="5011"/>
            <w:vAlign w:val="center"/>
          </w:tcPr>
          <w:p>
            <w:pPr>
              <w:spacing w:after="20"/>
            </w:pPr>
            <w:r>
              <w:rPr>
                <w:sz w:val="16"/>
              </w:rPr>
              <w:t>ANSWER / CLARIFY / ABSTAIN / SAFETY_STOP / SYSTEM_ERROR / NEXT_ELIGIBLE / RESOLVED</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pPr>
              <w:spacing w:after="20"/>
            </w:pPr>
            <w:r>
              <w:rPr>
                <w:sz w:val="16"/>
              </w:rPr>
              <w:t>mandatory_evidence_ids</w:t>
            </w:r>
          </w:p>
        </w:tc>
        <w:tc>
          <w:tcPr>
            <w:tcW w:type="dxa" w:w="5011"/>
            <w:vAlign w:val="center"/>
          </w:tcPr>
          <w:p>
            <w:pPr>
              <w:spacing w:after="20"/>
            </w:pPr>
            <w:r>
              <w:rPr>
                <w:sz w:val="16"/>
              </w:rPr>
              <w:t>All manual excerpts, prerequisite blocks, diagrams, tables and warnings needed</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expected_next_step_id</w:t>
            </w:r>
          </w:p>
        </w:tc>
        <w:tc>
          <w:tcPr>
            <w:tcW w:type="dxa" w:w="5011"/>
            <w:vAlign w:val="center"/>
            <w:shd w:fill="F3F6FA"/>
          </w:tcPr>
          <w:p>
            <w:pPr>
              <w:spacing w:after="20"/>
            </w:pPr>
            <w:r>
              <w:rPr>
                <w:sz w:val="16"/>
              </w:rPr>
              <w:t>Exact allowed next documented step or escalation</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pPr>
              <w:spacing w:after="20"/>
            </w:pPr>
            <w:r>
              <w:rPr>
                <w:sz w:val="16"/>
              </w:rPr>
              <w:t>Latency (p95)</w:t>
            </w:r>
          </w:p>
        </w:tc>
        <w:tc>
          <w:tcPr>
            <w:tcW w:type="dxa" w:w="3341"/>
            <w:vAlign w:val="center"/>
            <w:shd w:fill="F3F6FA"/>
          </w:tcPr>
          <w:p>
            <w:pPr>
              <w:spacing w:after="20"/>
            </w:pPr>
            <w:r>
              <w:rPr>
                <w:sz w:val="16"/>
              </w:rPr>
              <w:t>End-to-end cold/warm separated by modality</w:t>
            </w:r>
          </w:p>
        </w:tc>
        <w:tc>
          <w:tcPr>
            <w:tcW w:type="dxa" w:w="3341"/>
            <w:vAlign w:val="center"/>
            <w:shd w:fill="F3F6FA"/>
          </w:tcPr>
          <w:p>
            <w:pPr>
              <w:spacing w:after="20"/>
            </w:pPr>
            <w:r>
              <w:rPr>
                <w:sz w:val="16"/>
              </w:rPr>
              <w:t>Warm text &lt;5s; image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dense/sparse candidates, scores, fused rank, graph edges, compulsory evidence missing, rerank time</w:t>
      </w:r>
    </w:p>
    <w:p>
      <w:pPr>
        <w:pStyle w:val="ListBullet"/>
      </w:pPr>
      <w:r>
        <w:t>Decision spans: step eligibility, excluded prior checks, chosen next step, failed prerequisites, support verdict, citation mapping</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cost per outcome and p95 per stage; do not expose raw user photos/audio or access secrets in logs</w:t>
      </w:r>
    </w:p>
    <w:p>
      <w:pPr>
        <w:pStyle w:val="Heading1"/>
      </w:pPr>
      <w: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pPr>
              <w:spacing w:after="20"/>
            </w:pPr>
            <w:r>
              <w:rPr>
                <w:sz w:val="16"/>
              </w:rPr>
              <w:t>API keys and cost budget</w:t>
            </w:r>
          </w:p>
        </w:tc>
        <w:tc>
          <w:tcPr>
            <w:tcW w:type="dxa" w:w="3341"/>
            <w:vAlign w:val="center"/>
            <w:shd w:fill="F3F6FA"/>
          </w:tcPr>
          <w:p>
            <w:pPr>
              <w:spacing w:after="20"/>
            </w:pPr>
            <w:r>
              <w:rPr>
                <w:sz w:val="16"/>
              </w:rPr>
              <w:t>Developer</w:t>
            </w:r>
          </w:p>
        </w:tc>
        <w:tc>
          <w:tcPr>
            <w:tcW w:type="dxa" w:w="3341"/>
            <w:vAlign w:val="center"/>
            <w:shd w:fill="F3F6FA"/>
          </w:tcPr>
          <w:p>
            <w:pPr>
              <w:spacing w:after="20"/>
            </w:pPr>
            <w:r>
              <w:rPr>
                <w:sz w:val="16"/>
              </w:rPr>
              <w:t>Stored in secret manager; no repo commitment</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pPr>
              <w:spacing w:after="20"/>
            </w:pPr>
            <w:r>
              <w:rPr>
                <w:sz w:val="16"/>
              </w:rPr>
              <w:t>A: Manual audit</w:t>
            </w:r>
          </w:p>
        </w:tc>
        <w:tc>
          <w:tcPr>
            <w:tcW w:type="dxa" w:w="3341"/>
            <w:vAlign w:val="center"/>
          </w:tcPr>
          <w:p>
            <w:pPr>
              <w:spacing w:after="20"/>
            </w:pPr>
            <w:r>
              <w:rPr>
                <w:sz w:val="16"/>
              </w:rPr>
              <w:t>Inspect structure, warnings, figures, cross-reference density, variants</w:t>
            </w:r>
          </w:p>
        </w:tc>
        <w:tc>
          <w:tcPr>
            <w:tcW w:type="dxa" w:w="3341"/>
            <w:vAlign w:val="center"/>
          </w:tcPr>
          <w:p>
            <w:pPr>
              <w:spacing w:after="20"/>
            </w:pPr>
            <w:r>
              <w:rPr>
                <w:sz w:val="16"/>
              </w:rPr>
              <w:t>Choose source and 10 high-value seed questions</w:t>
            </w:r>
          </w:p>
        </w:tc>
      </w:tr>
      <w:tr>
        <w:trPr>
          <w:cantSplit/>
        </w:trPr>
        <w:tc>
          <w:tcPr>
            <w:tcW w:type="dxa" w:w="3341"/>
            <w:vAlign w:val="center"/>
            <w:shd w:fill="F3F6FA"/>
          </w:tcPr>
          <w:p>
            <w:pPr>
              <w:spacing w:after="20"/>
            </w:pPr>
            <w:r>
              <w:rPr>
                <w:sz w:val="16"/>
              </w:rPr>
              <w:t>B: Index + grounding</w:t>
            </w:r>
          </w:p>
        </w:tc>
        <w:tc>
          <w:tcPr>
            <w:tcW w:type="dxa" w:w="3341"/>
            <w:vAlign w:val="center"/>
            <w:shd w:fill="F3F6FA"/>
          </w:tcPr>
          <w:p>
            <w:pPr>
              <w:spacing w:after="20"/>
            </w:pPr>
            <w:r>
              <w:rPr>
                <w:sz w:val="16"/>
              </w:rPr>
              <w:t>Parse, typed objects, page registry, embeddings, BM25, citation renderer</w:t>
            </w:r>
          </w:p>
        </w:tc>
        <w:tc>
          <w:tcPr>
            <w:tcW w:type="dxa" w:w="3341"/>
            <w:vAlign w:val="center"/>
            <w:shd w:fill="F3F6FA"/>
          </w:tcPr>
          <w:p>
            <w:pPr>
              <w:spacing w:after="20"/>
            </w:pPr>
            <w:r>
              <w:rPr>
                <w:sz w:val="16"/>
              </w:rPr>
              <w:t>5 direct/manual questions pass with source links</w:t>
            </w:r>
          </w:p>
        </w:tc>
      </w:tr>
      <w:tr>
        <w:trPr>
          <w:cantSplit/>
        </w:trPr>
        <w:tc>
          <w:tcPr>
            <w:tcW w:type="dxa" w:w="3341"/>
            <w:vAlign w:val="center"/>
          </w:tcPr>
          <w:p>
            <w:pPr>
              <w:spacing w:after="20"/>
            </w:pPr>
            <w:r>
              <w:rPr>
                <w:sz w:val="16"/>
              </w:rPr>
              <w:t>C: Stateful troubleshooting</w:t>
            </w:r>
          </w:p>
        </w:tc>
        <w:tc>
          <w:tcPr>
            <w:tcW w:type="dxa" w:w="3341"/>
            <w:vAlign w:val="center"/>
          </w:tcPr>
          <w:p>
            <w:pPr>
              <w:spacing w:after="20"/>
            </w:pPr>
            <w:r>
              <w:rPr>
                <w:sz w:val="16"/>
              </w:rPr>
              <w:t>Outcome enum, attempt history, explicit NEXT_STEP edges, non-repeat policy</w:t>
            </w:r>
          </w:p>
        </w:tc>
        <w:tc>
          <w:tcPr>
            <w:tcW w:type="dxa" w:w="3341"/>
            <w:vAlign w:val="center"/>
          </w:tcPr>
          <w:p>
            <w:pPr>
              <w:spacing w:after="20"/>
            </w:pPr>
            <w:r>
              <w:rPr>
                <w:sz w:val="16"/>
              </w:rPr>
              <w:t>3 multi-turn scenarios behave correctly</w:t>
            </w:r>
          </w:p>
        </w:tc>
      </w:tr>
      <w:tr>
        <w:trPr>
          <w:cantSplit/>
        </w:trPr>
        <w:tc>
          <w:tcPr>
            <w:tcW w:type="dxa" w:w="3341"/>
            <w:vAlign w:val="center"/>
            <w:shd w:fill="F3F6FA"/>
          </w:tcPr>
          <w:p>
            <w:pPr>
              <w:spacing w:after="20"/>
            </w:pPr>
            <w:r>
              <w:rPr>
                <w:sz w:val="16"/>
              </w:rPr>
              <w:t>D: Multimodal + sharing</w:t>
            </w:r>
          </w:p>
        </w:tc>
        <w:tc>
          <w:tcPr>
            <w:tcW w:type="dxa" w:w="3341"/>
            <w:vAlign w:val="center"/>
            <w:shd w:fill="F3F6FA"/>
          </w:tcPr>
          <w:p>
            <w:pPr>
              <w:spacing w:after="20"/>
            </w:pPr>
            <w:r>
              <w:rPr>
                <w:sz w:val="16"/>
              </w:rPr>
              <w:t>Photo interpreter; Streamlit; host + secrets; optional voice</w:t>
            </w:r>
          </w:p>
        </w:tc>
        <w:tc>
          <w:tcPr>
            <w:tcW w:type="dxa" w:w="3341"/>
            <w:vAlign w:val="center"/>
            <w:shd w:fill="F3F6FA"/>
          </w:tcPr>
          <w:p>
            <w:pPr>
              <w:spacing w:after="20"/>
            </w:pPr>
            <w:r>
              <w:rPr>
                <w:sz w:val="16"/>
              </w:rPr>
              <w:t>Independent live-URL photo/text smoke test</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t>9  Release check and demo script</w:t>
      </w:r>
    </w:p>
    <w:p>
      <w:pPr>
        <w:pStyle w:val="ListNumber"/>
      </w:pPr>
      <w:r>
        <w:t>Open a new browser in a logged-out session; verify app URL and model/manual version banner</w:t>
      </w:r>
    </w:p>
    <w:p>
      <w:pPr>
        <w:pStyle w:val="ListNumber"/>
      </w:pPr>
      <w:r>
        <w:t>Ask an answerable manual question and inspect exact cited page; follow up “I checked; it was normal” and show different eligible next step</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Gate every proposed technical step on applicability, complete evidence, relevant cautions and claim-level citation support; reject unsupported drafts.</w:t>
      </w:r>
    </w:p>
    <w:p>
      <w:pPr>
        <w:pStyle w:val="ListBullet"/>
      </w:pPr>
      <w:r>
        <w:t>G-04  Implement deterministic typed diagnostic transitions, one question at a time, with no unjustified repeat after 'tried but still failing'.</w:t>
      </w:r>
    </w:p>
    <w:p>
      <w:pPr>
        <w:pStyle w:val="ListBullet"/>
      </w:pPr>
      <w:r>
        <w:t>G-05  Separate supported answer, clarification, unsupported request, safety stop and system error in both UI and telemetry.</w:t>
      </w:r>
    </w:p>
    <w:p>
      <w:pPr>
        <w:pStyle w:val="ListBullet"/>
      </w:pPr>
      <w:r>
        <w:t>G-06  Test prompt injection in user text, uploaded images and the manual; none may override source or safety rules.</w:t>
      </w:r>
    </w:p>
    <w:p>
      <w:pPr>
        <w:pStyle w:val="ListBullet"/>
      </w:pPr>
      <w:r>
        <w:t>G-07  Compile approved golden dialogue prefixes and terminal answers into exact-match cache keys containing manual checksum, variant, flow and policy version; fail closed on stale or draft entries.</w:t>
      </w:r>
    </w:p>
    <w:p>
      <w:pPr>
        <w:pStyle w:val="ListBullet"/>
      </w:pPr>
      <w:r>
        <w:t>G-08  Keep raw media out of ordinary logs, store keys server-side, and set file, rate and spend limits before a public demo.</w:t>
      </w:r>
    </w:p>
    <w:p>
      <w:pPr>
        <w:pStyle w:val="ListBullet"/>
      </w:pPr>
      <w:r>
        <w:t>G-09  Add regression cases for wrong variant, missing warning, ambiguous visual, invalid citation, retrieval outage, exhausted paths and cache mismatch; require a review sign-off before release.</w:t>
      </w:r>
    </w:p>
    <w:p>
      <w:pPr>
        <w:pStyle w:val="Heading1"/>
      </w:pPr>
      <w: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sectPr w:rsidR="00FC693F" w:rsidRPr="0006063C" w:rsidSect="00034616">
      <w:headerReference w:type="default" r:id="rId9"/>
      <w:footerReference w:type="default" r:id="rId10"/>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08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7F7B"/>
        <w:sz w:val="16"/>
      </w:rPr>
      <w:t>MOTOMEDIC AI   |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102238"/>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1766A5"/>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7F7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23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526071"/>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