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concept and architecture</w:t>
      </w:r>
    </w:p>
    <w:p>
      <w:pPr>
        <w:pStyle w:val="Subtitle"/>
      </w:pPr>
      <w:r>
        <w:rPr>
          <w:color w:val="000000"/>
        </w:rPr>
        <w:t>Manual question answering with private drafting semantic verification and buffered delivery</w:t>
      </w:r>
    </w:p>
    <w:p>
      <w:r>
        <w:t>Version 04 reconciled 11 October 2026 with TRD v0.6</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coverage, per-claim support, omissions, conflicts and release eligibility, bound to exact response and evidence hashes. Confidence is not acceptance. The verifier evaluates and does not rewrite an accepted answer.</w:t>
      </w:r>
    </w:p>
    <w:p>
      <w:pPr/>
      <w:r>
        <w:t>Finalize all server-added technical text, warnings and citations before verification. Withhold rejected drafts. Permit at most one evidence-supported correction and a new verification call; any changed response must be verified again.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answer content only after whole-response verification, final integrity checks and durable save. Stream the exact buffered accepted response without another model call. Bind delivery to accepted response hash, evidence and runtime versions, and operation ID; preserve complete saved answers and idempotent recovery after disconnects.</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Keep SUPPORTED, AMBIGUOUS, UNSUPPORTED, SAFETY_STOP and SYSTEM_ERROR distinct. A supported partial answer states what the evidence supports and what remains unanswered. Ask one focused question only for a rider-resolvable ambiguity needed for the actual question. Source gaps or review decisions are maintainer issues. Malformed output, timeout, outage, exhausted quota or integrity failure is SYSTEM_ERROR, never acceptance or proof of absence from the manual. Preserve verified safety-stop precedence; technical safety wording is also covered by verification before delivery.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Executive concept</w:t>
      </w:r>
    </w:p>
    <w:p>
      <w:r>
        <w:t>MotoMedic AI is a shareable assistant for an identified motorcycle model and a versioned Royal Enfield New Himalayan 450 owner's manual. Users may describe a symptom in text, upload a motorcycle photo, or optionally dictate a voice message. The assistant retrieves and composes only manual-supported advice, cites the relevant pages, and explicitly escalates to OEM support when evidence is unavailable.</w:t>
      </w:r>
    </w:p>
    <w:p>
      <w:r>
        <w:t>Product thesis  Retrieval locates applicable source evidence. A drafting LLM answers the actual question privately; a separate verifier evaluates question coverage and source support before the exact saved answer is streamed.</w:t>
      </w:r>
    </w:p>
    <w:p>
      <w:pPr>
        <w:spacing w:after="0"/>
      </w:pPr>
    </w:p>
    <w:p>
      <w:pPr>
        <w:pStyle w:val="Heading1"/>
      </w:pPr>
      <w:r>
        <w:rPr>
          <w:color w:val="000000"/>
        </w:rPr>
        <w:t>User promise and boundaries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In scope</w:t>
            </w:r>
          </w:p>
        </w:tc>
        <w:tc>
          <w:tcPr>
            <w:tcW w:type="dxa" w:w="5011"/>
            <w:shd w:fill="102238"/>
          </w:tcPr>
          <w:p>
            <w:r>
              <w:rPr>
                <w:b/>
                <w:color w:val="FFFFFF"/>
                <w:sz w:val="16"/>
              </w:rPr>
              <w:t>Out of scope</w:t>
            </w:r>
          </w:p>
        </w:tc>
      </w:tr>
      <w:tr>
        <w:trPr>
          <w:cantSplit/>
        </w:trPr>
        <w:tc>
          <w:tcPr>
            <w:tcW w:type="dxa" w:w="5011"/>
            <w:vAlign w:val="center"/>
          </w:tcPr>
          <w:p>
            <w:pPr>
              <w:spacing w:after="20"/>
            </w:pPr>
            <w:r>
              <w:t>Open manual questions, useful partial answers and relevant multi-turn history</w:t>
            </w:r>
          </w:p>
        </w:tc>
        <w:tc>
          <w:tcPr>
            <w:tcW w:type="dxa" w:w="5011"/>
            <w:vAlign w:val="center"/>
          </w:tcPr>
          <w:p>
            <w:pPr>
              <w:spacing w:after="20"/>
            </w:pPr>
            <w:r>
              <w:rPr>
                <w:sz w:val="16"/>
              </w:rPr>
              <w:t>General mechanical knowledge, unsupported diagnosis, or repair improvisation</w:t>
            </w:r>
          </w:p>
        </w:tc>
      </w:tr>
      <w:tr>
        <w:trPr>
          <w:cantSplit/>
        </w:trPr>
        <w:tc>
          <w:tcPr>
            <w:tcW w:type="dxa" w:w="5011"/>
            <w:vAlign w:val="center"/>
            <w:shd w:fill="F3F6FA"/>
          </w:tcPr>
          <w:p>
            <w:pPr>
              <w:spacing w:after="20"/>
            </w:pPr>
            <w:r>
              <w:rPr>
                <w:sz w:val="16"/>
              </w:rPr>
              <w:t>Citations to exact OEM pages, including warnings and tables</w:t>
            </w:r>
          </w:p>
        </w:tc>
        <w:tc>
          <w:tcPr>
            <w:tcW w:type="dxa" w:w="5011"/>
            <w:vAlign w:val="center"/>
            <w:shd w:fill="F3F6FA"/>
          </w:tcPr>
          <w:p>
            <w:pPr>
              <w:spacing w:after="20"/>
            </w:pPr>
            <w:r>
              <w:rPr>
                <w:sz w:val="16"/>
              </w:rPr>
              <w:t>Claiming a visual observation proves a hidden root cause</w:t>
            </w:r>
          </w:p>
        </w:tc>
      </w:tr>
      <w:tr>
        <w:trPr>
          <w:cantSplit/>
        </w:trPr>
        <w:tc>
          <w:tcPr>
            <w:tcW w:type="dxa" w:w="5011"/>
            <w:vAlign w:val="center"/>
          </w:tcPr>
          <w:p>
            <w:pPr>
              <w:spacing w:after="20"/>
            </w:pPr>
            <w:r>
              <w:rPr>
                <w:sz w:val="16"/>
              </w:rPr>
              <w:t>Text and photo input; optional speech-to-text</w:t>
            </w:r>
          </w:p>
        </w:tc>
        <w:tc>
          <w:tcPr>
            <w:tcW w:type="dxa" w:w="5011"/>
            <w:vAlign w:val="center"/>
          </w:tcPr>
          <w:p>
            <w:pPr>
              <w:spacing w:after="20"/>
            </w:pPr>
            <w:r>
              <w:rPr>
                <w:sz w:val="16"/>
              </w:rPr>
              <w:t>Unrestricted speech-to-speech repair advice</w:t>
            </w:r>
          </w:p>
        </w:tc>
      </w:tr>
      <w:tr>
        <w:trPr>
          <w:cantSplit/>
        </w:trPr>
        <w:tc>
          <w:tcPr>
            <w:tcW w:type="dxa" w:w="5011"/>
            <w:vAlign w:val="center"/>
            <w:shd w:fill="F3F6FA"/>
          </w:tcPr>
          <w:p>
            <w:pPr>
              <w:spacing w:after="20"/>
            </w:pPr>
            <w:r>
              <w:rPr>
                <w:sz w:val="16"/>
              </w:rPr>
              <w:t>Honest refusal + verified OEM support route</w:t>
            </w:r>
          </w:p>
        </w:tc>
        <w:tc>
          <w:tcPr>
            <w:tcW w:type="dxa" w:w="5011"/>
            <w:vAlign w:val="center"/>
            <w:shd w:fill="F3F6FA"/>
          </w:tcPr>
          <w:p>
            <w:pPr>
              <w:spacing w:after="20"/>
            </w:pPr>
            <w:r>
              <w:rPr>
                <w:sz w:val="16"/>
              </w:rPr>
              <w:t>Saying “not in the manual” when the index or parser failed</w:t>
            </w:r>
          </w:p>
        </w:tc>
      </w:tr>
    </w:tbl>
    <w:p>
      <w:pPr>
        <w:spacing w:after="0"/>
      </w:pPr>
    </w:p>
    <w:p>
      <w:pPr>
        <w:pStyle w:val="Heading1"/>
      </w:pPr>
      <w:r>
        <w:rPr>
          <w:color w:val="000000"/>
        </w:rPr>
        <w:t>End-to-end logical architecture</w:t>
      </w:r>
    </w:p>
    <w:p>
      <w:pPr/>
      <w:r>
        <w:t>Historical flow illustration retained for provenance. This drawing predates the current draft verify stream decision; the current architecture text governs.</w:t>
      </w:r>
    </w:p>
    <w:p>
      <w:pPr>
        <w:jc w:val="center"/>
      </w:pPr>
      <w:r>
        <w:drawing>
          <wp:inline xmlns:a="http://schemas.openxmlformats.org/drawingml/2006/main" xmlns:pic="http://schemas.openxmlformats.org/drawingml/2006/picture">
            <wp:extent cx="6080760" cy="6013196"/>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80760" cy="6013196"/>
                    </a:xfrm>
                    <a:prstGeom prst="rect"/>
                  </pic:spPr>
                </pic:pic>
              </a:graphicData>
            </a:graphic>
          </wp:inline>
        </w:drawing>
      </w:r>
    </w:p>
    <w:p>
      <w:r>
        <w:t>Both build and runtime are hosted. Versioned ingestion parses, chunks and embeds the approved manual ahead of requests. Serving reuses the immutable dense/BM25 index, reviewed source context, bounded recovery and conditional reranking, then privately drafts, separately verifies, validates, saves and streams the accepted response. Optional diagnostic paths are separate product features, not admission gates for ordinary Q&amp;A.</w:t>
      </w:r>
    </w:p>
    <w:p>
      <w:pPr>
        <w:pStyle w:val="Heading1"/>
      </w:pPr>
      <w:r>
        <w:rPr>
          <w:color w:val="000000"/>
        </w:rPr>
        <w:t>Relevant feedback and optional legacy troubleshooting</w:t>
      </w:r>
    </w:p>
    <w:p>
      <w:r>
        <w:t>The assistant treats customer feedback as an observation, not as authorization to assume a diagnosis. “That component looked fine,” “I completed the action but the symptom remains,” and “that condition does not apply” are different structured outcomes.</w:t>
      </w:r>
    </w:p>
    <w:p>
      <w:pPr/>
      <w:r>
        <w:t>Historical flow illustration retained for provenance. This drawing predates the current draft verify stream decision; the current architecture text governs.</w:t>
      </w:r>
    </w:p>
    <w:p>
      <w:pPr>
        <w:jc w:val="center"/>
      </w:pPr>
      <w:r>
        <w:drawing>
          <wp:inline xmlns:a="http://schemas.openxmlformats.org/drawingml/2006/main" xmlns:pic="http://schemas.openxmlformats.org/drawingml/2006/picture">
            <wp:extent cx="6080760" cy="4222750"/>
            <wp:docPr id="2" name="Picture 2"/>
            <wp:cNvGraphicFramePr>
              <a:graphicFrameLocks noChangeAspect="1"/>
            </wp:cNvGraphicFramePr>
            <a:graphic>
              <a:graphicData uri="http://schemas.openxmlformats.org/drawingml/2006/picture">
                <pic:pic>
                  <pic:nvPicPr>
                    <pic:cNvPr id="0" name="adaptive_state.png"/>
                    <pic:cNvPicPr/>
                  </pic:nvPicPr>
                  <pic:blipFill>
                    <a:blip r:embed="rId12"/>
                    <a:stretch>
                      <a:fillRect/>
                    </a:stretch>
                  </pic:blipFill>
                  <pic:spPr>
                    <a:xfrm>
                      <a:off x="0" y="0"/>
                      <a:ext cx="6080760" cy="4222750"/>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Customer statement</w:t>
            </w:r>
          </w:p>
        </w:tc>
        <w:tc>
          <w:tcPr>
            <w:tcW w:type="dxa" w:w="3341"/>
            <w:shd w:fill="102238"/>
          </w:tcPr>
          <w:p>
            <w:r>
              <w:rPr>
                <w:b/>
                <w:color w:val="FFFFFF"/>
                <w:sz w:val="16"/>
              </w:rPr>
              <w:t>Session interpretation</w:t>
            </w:r>
          </w:p>
        </w:tc>
        <w:tc>
          <w:tcPr>
            <w:tcW w:type="dxa" w:w="3341"/>
            <w:shd w:fill="102238"/>
          </w:tcPr>
          <w:p>
            <w:r>
              <w:rPr>
                <w:b/>
                <w:color w:val="FFFFFF"/>
                <w:sz w:val="16"/>
              </w:rPr>
              <w:t>Next move</w:t>
            </w:r>
          </w:p>
        </w:tc>
      </w:tr>
      <w:tr>
        <w:trPr>
          <w:cantSplit/>
        </w:trPr>
        <w:tc>
          <w:tcPr>
            <w:tcW w:type="dxa" w:w="3341"/>
            <w:vAlign w:val="center"/>
          </w:tcPr>
          <w:p>
            <w:r>
              <w:rPr>
                <w:sz w:val="16"/>
              </w:rPr>
              <w:t>“I checked it; it was normal.”</w:t>
            </w:r>
          </w:p>
        </w:tc>
        <w:tc>
          <w:tcPr>
            <w:tcW w:type="dxa" w:w="3341"/>
            <w:vAlign w:val="center"/>
          </w:tcPr>
          <w:p>
            <w:r>
              <w:rPr>
                <w:sz w:val="16"/>
              </w:rPr>
              <w:t>OBSERVED_NORMAL</w:t>
            </w:r>
          </w:p>
        </w:tc>
        <w:tc>
          <w:tcPr>
            <w:tcW w:type="dxa" w:w="3341"/>
            <w:vAlign w:val="center"/>
          </w:tcPr>
          <w:p>
            <w:r>
              <w:rPr>
                <w:sz w:val="16"/>
              </w:rPr>
              <w:t>Exclude only a branch whose reviewed condition is contradicted; do not infer a hidden fault or system health</w:t>
            </w:r>
          </w:p>
        </w:tc>
      </w:tr>
      <w:tr>
        <w:trPr>
          <w:cantSplit/>
        </w:trPr>
        <w:tc>
          <w:tcPr>
            <w:tcW w:type="dxa" w:w="3341"/>
            <w:vAlign w:val="center"/>
            <w:shd w:fill="F3F6FA"/>
          </w:tcPr>
          <w:p>
            <w:pPr>
              <w:spacing w:after="20"/>
            </w:pPr>
            <w:r>
              <w:rPr>
                <w:sz w:val="16"/>
              </w:rPr>
              <w:t>“I tried that; it still happens.”</w:t>
            </w:r>
          </w:p>
        </w:tc>
        <w:tc>
          <w:tcPr>
            <w:tcW w:type="dxa" w:w="3341"/>
            <w:vAlign w:val="center"/>
            <w:shd w:fill="F3F6FA"/>
          </w:tcPr>
          <w:p>
            <w:pPr>
              <w:spacing w:after="20"/>
            </w:pPr>
            <w:r>
              <w:rPr>
                <w:sz w:val="16"/>
              </w:rPr>
              <w:t>ACTION_COMPLETED_UNRESOLVED</w:t>
            </w:r>
          </w:p>
        </w:tc>
        <w:tc>
          <w:tcPr>
            <w:tcW w:type="dxa" w:w="3341"/>
            <w:vAlign w:val="center"/>
            <w:shd w:fill="F3F6FA"/>
          </w:tcPr>
          <w:p>
            <w:pPr>
              <w:spacing w:after="20"/>
            </w:pPr>
            <w:r>
              <w:t>Preserve unresolved outcome; answer the follow-up only from applicable evidence without inferring normality or OEM order</w:t>
            </w:r>
          </w:p>
        </w:tc>
      </w:tr>
      <w:tr>
        <w:trPr>
          <w:cantSplit/>
        </w:trPr>
        <w:tc>
          <w:tcPr>
            <w:tcW w:type="dxa" w:w="3341"/>
            <w:vAlign w:val="center"/>
          </w:tcPr>
          <w:p>
            <w:pPr>
              <w:spacing w:after="20"/>
            </w:pPr>
            <w:r>
              <w:rPr>
                <w:sz w:val="16"/>
              </w:rPr>
              <w:t>“My bike does not have that part.”</w:t>
            </w:r>
          </w:p>
        </w:tc>
        <w:tc>
          <w:tcPr>
            <w:tcW w:type="dxa" w:w="3341"/>
            <w:vAlign w:val="center"/>
          </w:tcPr>
          <w:p>
            <w:pPr>
              <w:spacing w:after="20"/>
            </w:pPr>
            <w:r>
              <w:rPr>
                <w:sz w:val="16"/>
              </w:rPr>
              <w:t>NOT_APPLICABLE (after variant confirmation)</w:t>
            </w:r>
          </w:p>
        </w:tc>
        <w:tc>
          <w:tcPr>
            <w:tcW w:type="dxa" w:w="3341"/>
            <w:vAlign w:val="center"/>
          </w:tcPr>
          <w:p>
            <w:pPr>
              <w:spacing w:after="20"/>
            </w:pPr>
            <w:r>
              <w:rPr>
                <w:sz w:val="16"/>
              </w:rPr>
              <w:t>Re-check bike/manual variant and avoid the inapplicable procedure</w:t>
            </w:r>
          </w:p>
        </w:tc>
      </w:tr>
      <w:tr>
        <w:trPr>
          <w:cantSplit/>
        </w:trPr>
        <w:tc>
          <w:tcPr>
            <w:tcW w:type="dxa" w:w="3341"/>
            <w:vAlign w:val="center"/>
            <w:shd w:fill="F3F6FA"/>
          </w:tcPr>
          <w:p>
            <w:pPr>
              <w:spacing w:after="20"/>
            </w:pPr>
            <w:r>
              <w:rPr>
                <w:sz w:val="16"/>
              </w:rPr>
              <w:t>“I cannot tell what I am seeing.”</w:t>
            </w:r>
          </w:p>
        </w:tc>
        <w:tc>
          <w:tcPr>
            <w:tcW w:type="dxa" w:w="3341"/>
            <w:vAlign w:val="center"/>
            <w:shd w:fill="F3F6FA"/>
          </w:tcPr>
          <w:p>
            <w:pPr>
              <w:spacing w:after="20"/>
            </w:pPr>
            <w:r>
              <w:rPr>
                <w:sz w:val="16"/>
              </w:rPr>
              <w:t>UNCLEAR</w:t>
            </w:r>
          </w:p>
        </w:tc>
        <w:tc>
          <w:tcPr>
            <w:tcW w:type="dxa" w:w="3341"/>
            <w:vAlign w:val="center"/>
            <w:shd w:fill="F3F6FA"/>
          </w:tcPr>
          <w:p>
            <w:pPr>
              <w:spacing w:after="20"/>
            </w:pPr>
            <w:r>
              <w:rPr>
                <w:sz w:val="16"/>
              </w:rPr>
              <w:t>Ask one discriminating question or request another photo</w:t>
            </w:r>
          </w:p>
        </w:tc>
      </w:tr>
      <w:tr>
        <w:trPr>
          <w:cantSplit/>
        </w:trPr>
        <w:tc>
          <w:tcPr>
            <w:tcW w:type="dxa" w:w="3341"/>
            <w:vAlign w:val="center"/>
          </w:tcPr>
          <w:p>
            <w:pPr>
              <w:spacing w:after="20"/>
            </w:pPr>
            <w:r>
              <w:rPr>
                <w:sz w:val="16"/>
              </w:rPr>
              <w:t>“It works now.”</w:t>
            </w:r>
          </w:p>
        </w:tc>
        <w:tc>
          <w:tcPr>
            <w:tcW w:type="dxa" w:w="3341"/>
            <w:vAlign w:val="center"/>
          </w:tcPr>
          <w:p>
            <w:pPr>
              <w:spacing w:after="20"/>
            </w:pPr>
            <w:r>
              <w:rPr>
                <w:sz w:val="16"/>
              </w:rPr>
              <w:t>RESOLVED</w:t>
            </w:r>
          </w:p>
        </w:tc>
        <w:tc>
          <w:tcPr>
            <w:tcW w:type="dxa" w:w="3341"/>
            <w:vAlign w:val="center"/>
          </w:tcPr>
          <w:p>
            <w:pPr>
              <w:spacing w:after="20"/>
            </w:pPr>
            <w:r>
              <w:rPr>
                <w:sz w:val="16"/>
              </w:rPr>
              <w:t>Close session with recap; no unsupported claim of root cause</w:t>
            </w:r>
          </w:p>
        </w:tc>
      </w:tr>
    </w:tbl>
    <w:p>
      <w:pPr>
        <w:spacing w:after="0"/>
      </w:pPr>
    </w:p>
    <w:p>
      <w:pPr>
        <w:pStyle w:val="Heading1"/>
      </w:pPr>
      <w:r>
        <w:rPr>
          <w:color w:val="000000"/>
        </w:rPr>
        <w:t>Conceptual evidence policy</w:t>
      </w:r>
    </w:p>
    <w:p>
      <w:pPr>
        <w:pStyle w:val="ListBullet"/>
      </w:pPr>
      <w:r>
        <w:t>A technical instruction must cite the exact applicable evidence object (manual ID, section, printed/page index, optional image bounding box)</w:t>
      </w:r>
    </w:p>
    <w:p>
      <w:pPr>
        <w:pStyle w:val="ListBullet"/>
      </w:pPr>
      <w:r>
        <w:t>Attach prerequisites, cautions, warnings, variant-specific specifications and referenced sections before composing a procedural answer</w:t>
      </w:r>
    </w:p>
    <w:p>
      <w:pPr>
        <w:pStyle w:val="ListBullet"/>
      </w:pPr>
      <w:r>
        <w:t>When a reviewed rider observation is missing, ask one source-derived question. Missing source objects or review are maintainer issues and block advice; never complete a procedure from general motorcycle knowledge.</w:t>
      </w:r>
    </w:p>
    <w:p>
      <w:pPr>
        <w:pStyle w:val="ListBullet"/>
      </w:pPr>
      <w:r>
        <w:t>Use document-linked OEM service-routing metadata to provide an escalation path after all applicable documented options are exhausted</w:t>
      </w:r>
    </w:p>
    <w:p>
      <w:pPr>
        <w:pStyle w:val="ListBullet"/>
      </w:pPr>
      <w:r>
        <w:t>If retrieval infrastructure is unavailable, return “temporarily unable to verify,” never the false claim that the information is absent</w:t>
      </w:r>
    </w:p>
    <w:p>
      <w:pPr>
        <w:pStyle w:val="Heading1"/>
      </w:pPr>
      <w:r>
        <w:rPr>
          <w:color w:val="000000"/>
        </w:rPr>
        <w:t>Guardrails and release checks</w:t>
      </w:r>
    </w:p>
    <w:p>
      <w:pPr>
        <w:pStyle w:val="ListBullet"/>
      </w:pPr>
      <w:r>
        <w:t>Source and applicability gate: confirm the selected owner manual checksum, model and variant before any procedure; block advice when applicability is unresolved.</w:t>
      </w:r>
    </w:p>
    <w:p>
      <w:pPr>
        <w:pStyle w:val="ListBullet"/>
      </w:pPr>
      <w:r>
        <w:t>Evidence gate: assemble the relevant procedure, conditions, warnings, specifications, tables and linked pages; require every technical claim to map to an immutable source object and page.</w:t>
      </w:r>
    </w:p>
    <w:p>
      <w:pPr>
        <w:pStyle w:val="ListBullet"/>
      </w:pPr>
      <w:r>
        <w:t>Safety gate: surface source warnings and unmet prerequisites, stop unsafe or undocumented bypass requests, and refer to authorised service when the manual gives no safe next step.</w:t>
      </w:r>
    </w:p>
    <w:p>
      <w:pPr>
        <w:pStyle w:val="ListBullet"/>
      </w:pPr>
      <w:r>
        <w:t>Dialogue guardrail: ask one discriminating, source-derived question at a time; store typed outcomes; never infer that an attempted action was normal or repeat it without a documented reason.</w:t>
      </w:r>
    </w:p>
    <w:p>
      <w:pPr>
        <w:pStyle w:val="ListBullet"/>
      </w:pPr>
      <w:r>
        <w:t>Untrusted input guardrail: treat PDF text, images and user messages as data; ignore embedded instructions that try to change source, safety or citation policy.</w:t>
      </w:r>
    </w:p>
    <w:p>
      <w:pPr>
        <w:pStyle w:val="ListBullet"/>
      </w:pPr>
      <w:r>
        <w:t>Failure distinction: insufficient evidence triggers clarification or honest abstention; a parser, retrieval or model outage triggers a system-error message, never a false claim that the manual lacks information.</w:t>
      </w:r>
    </w:p>
    <w:p>
      <w:pPr>
        <w:pStyle w:val="ListBullet"/>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pStyle w:val="ListBullet"/>
      </w:pPr>
      <w:r>
        <w:t>Privacy and cost guardrail: keep photos and audio ephemeral by default, redact traces, protect secrets, and apply rate and spending limits to a public demo.</w:t>
      </w:r>
    </w:p>
    <w:p>
      <w:pPr>
        <w:pStyle w:val="Heading1"/>
      </w:pPr>
      <w:r>
        <w:rPr>
          <w:color w:val="000000"/>
        </w:rPr>
        <w:t>User-facing experience</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Screen state</w:t>
            </w:r>
          </w:p>
        </w:tc>
        <w:tc>
          <w:tcPr>
            <w:tcW w:type="dxa" w:w="5011"/>
            <w:shd w:fill="102238"/>
          </w:tcPr>
          <w:p>
            <w:r>
              <w:rPr>
                <w:b/>
                <w:color w:val="FFFFFF"/>
                <w:sz w:val="16"/>
              </w:rPr>
              <w:t>What the customer sees</w:t>
            </w:r>
          </w:p>
        </w:tc>
      </w:tr>
      <w:tr>
        <w:trPr>
          <w:cantSplit/>
        </w:trPr>
        <w:tc>
          <w:tcPr>
            <w:tcW w:type="dxa" w:w="5011"/>
            <w:vAlign w:val="center"/>
          </w:tcPr>
          <w:p>
            <w:pPr>
              <w:spacing w:after="20"/>
            </w:pPr>
            <w:r>
              <w:rPr>
                <w:sz w:val="16"/>
              </w:rPr>
              <w:t>Model selection</w:t>
            </w:r>
          </w:p>
        </w:tc>
        <w:tc>
          <w:tcPr>
            <w:tcW w:type="dxa" w:w="5011"/>
            <w:vAlign w:val="center"/>
          </w:tcPr>
          <w:p>
            <w:pPr>
              <w:spacing w:after="20"/>
            </w:pPr>
            <w:r>
              <w:rPr>
                <w:sz w:val="16"/>
              </w:rPr>
              <w:t>Bike/make/year/variant and selected manual edition; no advice until applicability is resolved</w:t>
            </w:r>
          </w:p>
        </w:tc>
      </w:tr>
      <w:tr>
        <w:trPr>
          <w:cantSplit/>
        </w:trPr>
        <w:tc>
          <w:tcPr>
            <w:tcW w:type="dxa" w:w="5011"/>
            <w:vAlign w:val="center"/>
            <w:shd w:fill="F3F6FA"/>
          </w:tcPr>
          <w:p>
            <w:pPr>
              <w:spacing w:after="20"/>
            </w:pPr>
            <w:r>
              <w:rPr>
                <w:sz w:val="16"/>
              </w:rPr>
              <w:t>Ask</w:t>
            </w:r>
          </w:p>
        </w:tc>
        <w:tc>
          <w:tcPr>
            <w:tcW w:type="dxa" w:w="5011"/>
            <w:vAlign w:val="center"/>
            <w:shd w:fill="F3F6FA"/>
          </w:tcPr>
          <w:p>
            <w:pPr>
              <w:spacing w:after="20"/>
            </w:pPr>
            <w:r>
              <w:rPr>
                <w:sz w:val="16"/>
              </w:rPr>
              <w:t>Text prompt, upload-photo control, optional record-voice control</w:t>
            </w:r>
          </w:p>
        </w:tc>
      </w:tr>
      <w:tr>
        <w:trPr>
          <w:cantSplit/>
        </w:trPr>
        <w:tc>
          <w:tcPr>
            <w:tcW w:type="dxa" w:w="5011"/>
            <w:vAlign w:val="center"/>
          </w:tcPr>
          <w:p>
            <w:pPr>
              <w:spacing w:after="20"/>
            </w:pPr>
            <w:r>
              <w:t>Verified answer</w:t>
            </w:r>
          </w:p>
        </w:tc>
        <w:tc>
          <w:tcPr>
            <w:tcW w:type="dxa" w:w="5011"/>
            <w:vAlign w:val="center"/>
          </w:tcPr>
          <w:p>
            <w:pPr>
              <w:spacing w:after="20"/>
            </w:pPr>
            <w:r>
              <w:t>Concise answer to the actual question, applicable conditions and warnings, citations, and explicit partial-support limits</w:t>
            </w:r>
          </w:p>
        </w:tc>
      </w:tr>
      <w:tr>
        <w:trPr>
          <w:cantSplit/>
        </w:trPr>
        <w:tc>
          <w:tcPr>
            <w:tcW w:type="dxa" w:w="5011"/>
            <w:vAlign w:val="center"/>
            <w:shd w:fill="F3F6FA"/>
          </w:tcPr>
          <w:p>
            <w:pPr>
              <w:spacing w:after="20"/>
            </w:pPr>
            <w:r>
              <w:rPr>
                <w:sz w:val="16"/>
              </w:rPr>
              <w:t>Feedback</w:t>
            </w:r>
          </w:p>
        </w:tc>
        <w:tc>
          <w:tcPr>
            <w:tcW w:type="dxa" w:w="5011"/>
            <w:vAlign w:val="center"/>
            <w:shd w:fill="F3F6FA"/>
          </w:tcPr>
          <w:p>
            <w:pPr>
              <w:spacing w:after="20"/>
            </w:pPr>
            <w:r>
              <w:rPr>
                <w:sz w:val="16"/>
              </w:rPr>
              <w:t>“Normal”, “Abnormal”, “Tried - not fixed”, “Not applicable”, “Not sure”, “Fixed”</w:t>
            </w:r>
          </w:p>
        </w:tc>
      </w:tr>
      <w:tr>
        <w:trPr>
          <w:cantSplit/>
        </w:trPr>
        <w:tc>
          <w:tcPr>
            <w:tcW w:type="dxa" w:w="5011"/>
            <w:vAlign w:val="center"/>
          </w:tcPr>
          <w:p>
            <w:pPr>
              <w:spacing w:after="20"/>
            </w:pPr>
            <w:r>
              <w:rPr>
                <w:sz w:val="16"/>
              </w:rPr>
              <w:t>Evidence</w:t>
            </w:r>
          </w:p>
        </w:tc>
        <w:tc>
          <w:tcPr>
            <w:tcW w:type="dxa" w:w="5011"/>
            <w:vAlign w:val="center"/>
          </w:tcPr>
          <w:p>
            <w:pPr>
              <w:spacing w:after="20"/>
            </w:pPr>
            <w:r>
              <w:t>Immutable evidence ID and server-derived original page metadata; no rider PDF, excerpt or crop</w:t>
            </w:r>
          </w:p>
        </w:tc>
      </w:tr>
      <w:tr>
        <w:trPr>
          <w:cantSplit/>
        </w:trPr>
        <w:tc>
          <w:tcPr>
            <w:tcW w:type="dxa" w:w="5011"/>
            <w:vAlign w:val="center"/>
            <w:shd w:fill="F3F6FA"/>
          </w:tcPr>
          <w:p>
            <w:pPr>
              <w:spacing w:after="20"/>
            </w:pPr>
            <w:r>
              <w:rPr>
                <w:sz w:val="16"/>
              </w:rPr>
              <w:t>Escalation</w:t>
            </w:r>
          </w:p>
        </w:tc>
        <w:tc>
          <w:tcPr>
            <w:tcW w:type="dxa" w:w="5011"/>
            <w:vAlign w:val="center"/>
            <w:shd w:fill="F3F6FA"/>
          </w:tcPr>
          <w:p>
            <w:pPr>
              <w:spacing w:after="20"/>
            </w:pPr>
            <w:r>
              <w:rPr>
                <w:sz w:val="16"/>
              </w:rPr>
              <w:t>Transparent unsupported/undocumented status and a verified OEM support link or copyable request</w:t>
            </w:r>
          </w:p>
        </w:tc>
      </w:tr>
    </w:tbl>
    <w:p>
      <w:pPr>
        <w:spacing w:after="0"/>
      </w:pPr>
    </w:p>
    <w:p>
      <w:pPr>
        <w:pStyle w:val="Heading1"/>
      </w:pPr>
      <w:r>
        <w:rPr>
          <w:color w:val="000000"/>
        </w:rPr>
        <w:t>Progressive capability release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Release</w:t>
            </w:r>
          </w:p>
        </w:tc>
        <w:tc>
          <w:tcPr>
            <w:tcW w:type="dxa" w:w="3341"/>
            <w:shd w:fill="102238"/>
          </w:tcPr>
          <w:p>
            <w:r>
              <w:rPr>
                <w:b/>
                <w:color w:val="FFFFFF"/>
                <w:sz w:val="16"/>
              </w:rPr>
              <w:t>Capability</w:t>
            </w:r>
          </w:p>
        </w:tc>
        <w:tc>
          <w:tcPr>
            <w:tcW w:type="dxa" w:w="3341"/>
            <w:shd w:fill="102238"/>
          </w:tcPr>
          <w:p>
            <w:r>
              <w:rPr>
                <w:b/>
                <w:color w:val="FFFFFF"/>
                <w:sz w:val="16"/>
              </w:rPr>
              <w:t>Gate</w:t>
            </w:r>
          </w:p>
        </w:tc>
      </w:tr>
      <w:tr>
        <w:trPr>
          <w:cantSplit/>
        </w:trPr>
        <w:tc>
          <w:tcPr>
            <w:tcW w:type="dxa" w:w="3341"/>
            <w:vAlign w:val="center"/>
          </w:tcPr>
          <w:p>
            <w:r>
              <w:rPr>
                <w:sz w:val="16"/>
              </w:rPr>
              <w:t>MVP / P0</w:t>
            </w:r>
          </w:p>
        </w:tc>
        <w:tc>
          <w:tcPr>
            <w:tcW w:type="dxa" w:w="3341"/>
            <w:vAlign w:val="center"/>
          </w:tcPr>
          <w:p>
            <w:r>
              <w:t>Hosted source retrieval, private draft, separate verifier, typed history, progress, saved buffered streaming and controls</w:t>
            </w:r>
          </w:p>
        </w:tc>
        <w:tc>
          <w:tcPr>
            <w:tcW w:type="dxa" w:w="3341"/>
            <w:vAlign w:val="center"/>
          </w:tcPr>
          <w:p>
            <w:r>
              <w:rPr>
                <w:sz w:val="16"/>
              </w:rPr>
              <w:t>Confirmed source/variant/rights; independently reviewed cases and all safety gates pass</w:t>
            </w:r>
          </w:p>
        </w:tc>
      </w:tr>
      <w:tr>
        <w:trPr>
          <w:cantSplit/>
        </w:trPr>
        <w:tc>
          <w:tcPr>
            <w:tcW w:type="dxa" w:w="3341"/>
            <w:vAlign w:val="center"/>
            <w:shd w:fill="F3F6FA"/>
          </w:tcPr>
          <w:p>
            <w:r>
              <w:rPr>
                <w:sz w:val="16"/>
              </w:rPr>
              <w:t>Enhanced / P1</w:t>
            </w:r>
          </w:p>
        </w:tc>
        <w:tc>
          <w:tcPr>
            <w:tcW w:type="dxa" w:w="3341"/>
            <w:vAlign w:val="center"/>
            <w:shd w:fill="F3F6FA"/>
          </w:tcPr>
          <w:p>
            <w:r>
              <w:t>Optional vision/voice and verified-response reuse only after separate evaluation</w:t>
            </w:r>
          </w:p>
        </w:tc>
        <w:tc>
          <w:tcPr>
            <w:tcW w:type="dxa" w:w="3341"/>
            <w:vAlign w:val="center"/>
            <w:shd w:fill="F3F6FA"/>
          </w:tcPr>
          <w:p>
            <w:r>
              <w:rPr>
                <w:sz w:val="16"/>
              </w:rPr>
              <w:t>Measured benefit on reviewed cases; identical release gates</w:t>
            </w:r>
          </w:p>
        </w:tc>
      </w:tr>
      <w:tr>
        <w:trPr>
          <w:cantSplit/>
        </w:trPr>
        <w:tc>
          <w:tcPr>
            <w:tcW w:type="dxa" w:w="3341"/>
            <w:vAlign w:val="center"/>
          </w:tcPr>
          <w:p>
            <w:pPr>
              <w:spacing w:after="20"/>
            </w:pPr>
            <w:r>
              <w:rPr>
                <w:sz w:val="16"/>
              </w:rPr>
              <w:t>Experiment / P2</w:t>
            </w:r>
          </w:p>
        </w:tc>
        <w:tc>
          <w:tcPr>
            <w:tcW w:type="dxa" w:w="3341"/>
            <w:vAlign w:val="center"/>
          </w:tcPr>
          <w:p>
            <w:pPr>
              <w:spacing w:after="20"/>
            </w:pPr>
            <w:r>
              <w:rPr>
                <w:sz w:val="16"/>
              </w:rPr>
              <w:t>Sarvam voice, late-interaction retrieval, visual-page retrieval, model/reranker ablations</w:t>
            </w:r>
          </w:p>
        </w:tc>
        <w:tc>
          <w:tcPr>
            <w:tcW w:type="dxa" w:w="3341"/>
            <w:vAlign w:val="center"/>
          </w:tcPr>
          <w:p>
            <w:pPr>
              <w:spacing w:after="20"/>
            </w:pPr>
            <w:r>
              <w:rPr>
                <w:sz w:val="16"/>
              </w:rPr>
              <w:t>Measured lift in evidence completeness, cost or latency</w:t>
            </w:r>
          </w:p>
        </w:tc>
      </w:tr>
    </w:tbl>
    <w:p>
      <w:pPr>
        <w:spacing w:after="0"/>
      </w:pPr>
    </w:p>
    <w:p>
      <w:pPr>
        <w:pStyle w:val="Heading1"/>
      </w:pPr>
      <w:r>
        <w:rPr>
          <w:color w:val="000000"/>
        </w:rPr>
        <w:t>Assumptions still to verify</w:t>
      </w:r>
    </w:p>
    <w:p>
      <w:pPr>
        <w:pStyle w:val="ListBullet"/>
      </w:pPr>
      <w:r>
        <w:t>The supplied Himalayan BS6 owner manual is the approved prototype source. Edition RAM00818/A dated 4 November 2025 and the owner-selected applicability policy are recorded in source_manifest.json. Exact source approvals remain scope-bound; market fit and redistribution rights are separate limitations. End-user PDF, excerpt and crop delivery is prohibited.</w:t>
      </w:r>
    </w:p>
    <w:p>
      <w:pPr>
        <w:pStyle w:val="ListBullet"/>
      </w:pPr>
      <w:r>
        <w:t>Critical cross-references, diagrams, safety blocks and table headers survive layout extraction; review difficult pages manually</w:t>
      </w:r>
    </w:p>
    <w:p>
      <w:pPr>
        <w:pStyle w:val="ListBullet"/>
      </w:pPr>
      <w:r>
        <w:t>A hosted Streamlit rider UI remains the planned demo; authenticated Cloud Run Qdrant and private Cloud Storage are the recorded retrieval deployment. UI latency and independent text/photo smoke tests remain pending.</w:t>
      </w:r>
    </w:p>
    <w:p>
      <w:pPr>
        <w:pStyle w:val="ListBullet"/>
      </w:pPr>
      <w:r>
        <w:t>The interviewer will judge a text-output demo sufficient; audio output is optional</w:t>
      </w:r>
    </w:p>
    <w:p>
      <w:r>
        <w:t>Supporting vendor and research references are consolidated in the companion To Build document.</w:t>
      </w:r>
    </w:p>
    <w:p>
      <w:pPr>
        <w:pStyle w:val="Heading1"/>
      </w:pPr>
      <w:r>
        <w:rPr>
          <w:color w:val="000000"/>
        </w:rPr>
        <w:t>Source applicability conversation history and release policy</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r>
        <w:t>Keep SUPPORTED, AMBIGUOUS, UNSUPPORTED, SAFETY_STOP and SYSTEM_ERROR distinct. A supported partial answer states what the evidence supports and what remains unanswered. Ask one focused question only for a rider-resolvable ambiguity needed for the actual question. Source gaps or review decisions are maintainer issues. Malformed output, timeout, outage, exhausted quota or integrity failure is SYSTEM_ERROR, never acceptance or proof of absence from the manual. Preserve verified safety-stop precedence; technical safety wording is also covered by verification before delivery.</w:t>
      </w:r>
    </w:p>
    <w:p>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pStyle w:val="Heading1"/>
      </w:pPr>
      <w:r>
        <w:rPr>
          <w:color w:val="000000"/>
        </w:rPr>
        <w:t>Current hosted build and pending release</w:t>
      </w:r>
    </w:p>
    <w:p>
      <w:r>
        <w:t>Hosted ingestion and embedding comparisons are complete. Candidate index index_a3282c4d98cf54595e4ba168 has 532 search chunks and 277 section parents at a 1,024-token budget. Private Cloud Run Qdrant restores stored immutable vectors on cold start, without reparsing or re-embedding. Historical backend smoke passed 11/11. These results do not validate the new draft verify stream pipeline or public release.</w:t>
      </w:r>
    </w:p>
    <w:p>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sectPr w:rsidR="00FC693F" w:rsidRPr="0006063C" w:rsidSect="00034616">
      <w:headerReference w:type="default" r:id="rId9"/>
      <w:footerReference w:type="default" r:id="rId10"/>
      <w:footerReference w:type="first" r:id="rId13"/>
      <w:footerReference w:type="even" r:id="rId14"/>
      <w:headerReference w:type="first" r:id="rId15"/>
      <w:headerReference w:type="even" r:id="rId16"/>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 OWNER-MANUAL PILOT     |     09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