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MotoMedic AI technical requirements</w:t>
      </w:r>
    </w:p>
    <w:p>
      <w:pPr>
        <w:pStyle w:val="Subtitle"/>
      </w:pPr>
      <w:r>
        <w:rPr>
          <w:color w:val="000000"/>
        </w:rPr>
        <w:t>TRD version 06 reference design and implementation contracts</w:t>
      </w:r>
    </w:p>
    <w:p>
      <w:r>
        <w:t>Updated 11 October 2026 owner decision draft verify stream</w:t>
      </w:r>
    </w:p>
    <w:p>
      <w:pPr/>
      <w:r>
        <w:t>TRD v0.6 records the owner decision of 11 October 2026: open manual question answering through DRAFT, a separate online semantic VERIFY call, and delivery of the saved buffered response through STREAM. This supersedes A/B selection, exact-answer-only restrictions, universal StepDefinition or diagnostic-path gates, and the later no-online-verifier amendment. Source integrity, selected-manual applicability, privacy, limits and source display restrictions remain binding. This design decision does not authorize new spending, billing changes or deployment.</w:t>
      </w:r>
    </w:p>
    <w:p>
      <w:pPr>
        <w:pStyle w:val="Heading1"/>
      </w:pPr>
      <w:r>
        <w:rPr>
          <w:color w:val="000000"/>
        </w:rPr>
        <w:t>Current answer architecture</w:t>
      </w:r>
    </w:p>
    <w:p>
      <w:pPr/>
      <w:r>
        <w:t>The rider may ask any question about the selected motorcycle and manual, including a documented procedure. No predefined question, canonical response, intent catalogue, fact group, answer scope or registered action is required for an otherwise source-supported answer. The applicable manual evidence is the knowledge authority. Give concise useful information, state partial support clearly, and provide the verified OEM support route where appropriate. Do not invent diagnosis, repairs, conditions or OEM ordering. Rider usefulness feedback does not establish technical correctness or a verified repair.</w:t>
      </w:r>
    </w:p>
    <w:p>
      <w:pPr/>
      <w:r>
        <w:t>Reuse versioned hosted Docling ingestion, BGE M3 plus BM25 and Qdrant. Retrieve and assemble relevant immutable passages through hybrid search, bounded recovery and conditional reranking. Do not parse or embed the manual per request. A high relevance score does not establish support; failure to retrieve an answer is not proof of absence throughout the manual.</w:t>
      </w:r>
    </w:p>
    <w:p>
      <w:pPr/>
      <w:r>
        <w:t>DRAFT privately using the actual question, relevant conversation history and outcomes, assembled applicable evidence and citation IDs, and the source-only policy. Produce the complete proposed answer with claim mappings, conditions, warnings and any limits. There is no separate assess-evidence-first LLM call. Allow new wording and combinations of supported facts; never expose private drafting tokens.</w:t>
      </w:r>
    </w:p>
    <w:p>
      <w:pPr/>
      <w:r>
        <w:t>VERIFY in a separate LLM call against the exact question, relevant history, complete proposed response, claim mappings and source passages. Check meaningful question coverage and every technical claim, including applicability, conditions, warnings, prerequisites, units and specifications. Record strict structured coverage, per-claim support, omissions, conflicts and release eligibility, bound to exact response and evidence hashes. Confidence is not acceptance. The verifier evaluates and does not rewrite an accepted answer.</w:t>
      </w:r>
    </w:p>
    <w:p>
      <w:pPr/>
      <w:r>
        <w:t>Finalize all server-added technical text, warnings and citations before verification. Withhold rejected drafts. Permit at most one evidence-supported correction and a new verification call; any changed response must be verified again. Verification remains probabilistic; evaluate false acceptance and false refusal independently against original pages.</w:t>
      </w:r>
    </w:p>
    <w:p>
      <w:pPr/>
      <w:r>
        <w:t>Show the operational labels Retrieving manual information, Drafting your answer, Checking the answer against the manual, and Displaying the verified answer when the backend actually enters each stage. Open the progress channel promptly, without chain-of-thought, fake percentages or simulated timing. Release answer content only after whole-response verification, final integrity checks and durable save. Stream the exact buffered accepted response without another model call. Bind delivery to accepted response hash, evidence and runtime versions, and operation ID; preserve complete saved answers and idempotent recovery after disconnects.</w:t>
      </w:r>
    </w:p>
    <w:p>
      <w:pPr/>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pPr/>
      <w:r>
        <w:t>Keep SUPPORTED, AMBIGUOUS, UNSUPPORTED, SAFETY_STOP and SYSTEM_ERROR distinct. A supported partial answer states what the evidence supports and what remains unanswered. Ask one focused question only for a rider-resolvable ambiguity needed for the actual question. Source gaps or review decisions are maintainer issues. Malformed output, timeout, outage, exhausted quota or integrity failure is SYSTEM_ERROR, never acceptance or proof of absence from the manual. Preserve verified safety-stop precedence; technical safety wording is also covered by verification before delivery.</w:t>
      </w:r>
    </w:p>
    <w:p>
      <w:pPr/>
      <w:r>
        <w:t>Disable old Arm A and exact-response shortcuts in the initial integration; they cannot bypass the new verification call. Index reuse and provider prompt caching are separate optimizations. Future verified-response reuse needs exact source, query, state, response and runtime bindings plus separate evaluation. Similarity alone never authorizes reuse. Count complete requests and all draft, verify, correction and re-verification attempts against existing token, byte, output, concurrency, quota, retention and spending limits; never silently truncate mandatory evidence.</w:t>
      </w:r>
    </w:p>
    <w:p>
      <w:pPr/>
      <w:r>
        <w:t>Preserve exact immutable source IDs, original-page provenance and approved source-object bindings. Source-integrity review is distinct from authored-answer approval; the frozen 161-case v3 package and its exact bytes remain unchanged. Parent labels do not authorize whole parent bodies. Restore applicable warnings, prerequisites, table headers, units and referenced context only through reviewed source relationships. Page 103 fallback and unresolved source-specific limitations remain explicit. Rider PDF, excerpt and figure-crop delivery remains prohibited under source_manifest.json; use verified paraphrases and server-derived citation metadata.</w:t>
      </w:r>
    </w:p>
    <w:p>
      <w:pPr/>
      <w:r>
        <w:t>This is the current design contract, not a deployment or semantic-correctness claim. The new draft, verifier, buffered delivery and progress boundary need fresh runtime tests and independent real-output evaluation. Preserve failed prior runs. Use the currently authorized gemma-4-26b-a4b-it model unless the owner approves a change. Consult current deployment, evaluation and budget receipts; the design decision grants no new provider-spending authority.</w:t>
      </w:r>
    </w:p>
    <w:p>
      <w:pPr>
        <w:pStyle w:val="Heading1"/>
      </w:pPr>
      <w:r>
        <w:rPr>
          <w:color w:val="000000"/>
        </w:rPr>
        <w:t>1  Design philosophy and trust boundaries</w:t>
      </w:r>
    </w:p>
    <w:p>
      <w:r>
        <w:t>This specification describes a version-locked, layout-aware multimodal RAG pipeline using only the supplied Royal Enfield New Himalayan 450 owner's manual with diagnostic session state. The LLM may translate a customer report into structured observations and paraphrase manual-backed instructions. No model may author a new repair step absent an applicable evidence object.</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Layer</w:t>
            </w:r>
          </w:p>
        </w:tc>
        <w:tc>
          <w:tcPr>
            <w:tcW w:type="dxa" w:w="3341"/>
            <w:shd w:fill="102238"/>
          </w:tcPr>
          <w:p>
            <w:pPr>
              <w:keepNext/>
            </w:pPr>
            <w:r>
              <w:rPr>
                <w:b/>
                <w:color w:val="FFFFFF"/>
                <w:sz w:val="16"/>
              </w:rPr>
              <w:t>Authority</w:t>
            </w:r>
          </w:p>
        </w:tc>
        <w:tc>
          <w:tcPr>
            <w:tcW w:type="dxa" w:w="3341"/>
            <w:shd w:fill="102238"/>
          </w:tcPr>
          <w:p>
            <w:pPr>
              <w:keepNext/>
            </w:pPr>
            <w:r>
              <w:rPr>
                <w:b/>
                <w:color w:val="FFFFFF"/>
                <w:sz w:val="16"/>
              </w:rPr>
              <w:t>Failure response</w:t>
            </w:r>
          </w:p>
        </w:tc>
      </w:tr>
      <w:tr>
        <w:trPr>
          <w:cantSplit/>
        </w:trPr>
        <w:tc>
          <w:tcPr>
            <w:tcW w:type="dxa" w:w="3341"/>
            <w:vAlign w:val="center"/>
          </w:tcPr>
          <w:p>
            <w:pPr>
              <w:spacing w:after="20"/>
            </w:pPr>
            <w:r>
              <w:rPr>
                <w:sz w:val="16"/>
              </w:rPr>
              <w:t>Manual registry</w:t>
            </w:r>
          </w:p>
        </w:tc>
        <w:tc>
          <w:tcPr>
            <w:tcW w:type="dxa" w:w="3341"/>
            <w:vAlign w:val="center"/>
          </w:tcPr>
          <w:p>
            <w:pPr>
              <w:spacing w:after="20"/>
            </w:pPr>
            <w:r>
              <w:rPr>
                <w:sz w:val="16"/>
              </w:rPr>
              <w:t>Model/variant/version/checksum</w:t>
            </w:r>
          </w:p>
        </w:tc>
        <w:tc>
          <w:tcPr>
            <w:tcW w:type="dxa" w:w="3341"/>
            <w:vAlign w:val="center"/>
          </w:tcPr>
          <w:p>
            <w:pPr>
              <w:spacing w:after="20"/>
            </w:pPr>
            <w:r>
              <w:rPr>
                <w:sz w:val="16"/>
              </w:rPr>
              <w:t>Block when unverified or inconsistent</w:t>
            </w:r>
          </w:p>
        </w:tc>
      </w:tr>
      <w:tr>
        <w:trPr>
          <w:cantSplit/>
        </w:trPr>
        <w:tc>
          <w:tcPr>
            <w:tcW w:type="dxa" w:w="3341"/>
            <w:vAlign w:val="center"/>
            <w:shd w:fill="F3F6FA"/>
          </w:tcPr>
          <w:p>
            <w:pPr>
              <w:spacing w:after="20"/>
            </w:pPr>
            <w:r>
              <w:rPr>
                <w:sz w:val="16"/>
              </w:rPr>
              <w:t>PDF parser + evidence store</w:t>
            </w:r>
          </w:p>
        </w:tc>
        <w:tc>
          <w:tcPr>
            <w:tcW w:type="dxa" w:w="3341"/>
            <w:vAlign w:val="center"/>
            <w:shd w:fill="F3F6FA"/>
          </w:tcPr>
          <w:p>
            <w:pPr>
              <w:spacing w:after="20"/>
            </w:pPr>
            <w:r>
              <w:rPr>
                <w:sz w:val="16"/>
              </w:rPr>
              <w:t>Extracted source with page and bounding-box traceability</w:t>
            </w:r>
          </w:p>
        </w:tc>
        <w:tc>
          <w:tcPr>
            <w:tcW w:type="dxa" w:w="3341"/>
            <w:vAlign w:val="center"/>
            <w:shd w:fill="F3F6FA"/>
          </w:tcPr>
          <w:p>
            <w:pPr>
              <w:spacing w:after="20"/>
            </w:pPr>
            <w:r>
              <w:rPr>
                <w:sz w:val="16"/>
              </w:rPr>
              <w:t>Flag uncertain/missing extraction; manual review needed</w:t>
            </w:r>
          </w:p>
        </w:tc>
      </w:tr>
      <w:tr>
        <w:trPr>
          <w:cantSplit/>
        </w:trPr>
        <w:tc>
          <w:tcPr>
            <w:tcW w:type="dxa" w:w="3341"/>
            <w:vAlign w:val="center"/>
          </w:tcPr>
          <w:p>
            <w:pPr>
              <w:spacing w:after="20"/>
            </w:pPr>
            <w:r>
              <w:rPr>
                <w:sz w:val="16"/>
              </w:rPr>
              <w:t>Dense/sparse retriever</w:t>
            </w:r>
          </w:p>
        </w:tc>
        <w:tc>
          <w:tcPr>
            <w:tcW w:type="dxa" w:w="3341"/>
            <w:vAlign w:val="center"/>
          </w:tcPr>
          <w:p>
            <w:pPr>
              <w:spacing w:after="20"/>
            </w:pPr>
            <w:r>
              <w:rPr>
                <w:sz w:val="16"/>
              </w:rPr>
              <w:t>Candidate relevance, not factual truth</w:t>
            </w:r>
          </w:p>
        </w:tc>
        <w:tc>
          <w:tcPr>
            <w:tcW w:type="dxa" w:w="3341"/>
            <w:vAlign w:val="center"/>
          </w:tcPr>
          <w:p>
            <w:pPr>
              <w:spacing w:after="20"/>
            </w:pPr>
            <w:r>
              <w:rPr>
                <w:sz w:val="16"/>
              </w:rPr>
              <w:t>Broaden search once; do not equate empty top-k to true absence</w:t>
            </w:r>
          </w:p>
        </w:tc>
      </w:tr>
      <w:tr>
        <w:trPr>
          <w:cantSplit/>
        </w:trPr>
        <w:tc>
          <w:tcPr>
            <w:tcW w:type="dxa" w:w="3341"/>
            <w:vAlign w:val="center"/>
            <w:shd w:fill="F3F6FA"/>
          </w:tcPr>
          <w:p>
            <w:pPr>
              <w:spacing w:after="20"/>
            </w:pPr>
            <w:r>
              <w:rPr>
                <w:sz w:val="16"/>
              </w:rPr>
              <w:t>Document graph</w:t>
            </w:r>
          </w:p>
        </w:tc>
        <w:tc>
          <w:tcPr>
            <w:tcW w:type="dxa" w:w="3341"/>
            <w:vAlign w:val="center"/>
            <w:shd w:fill="F3F6FA"/>
          </w:tcPr>
          <w:p>
            <w:pPr>
              <w:spacing w:after="20"/>
            </w:pPr>
            <w:r>
              <w:rPr>
                <w:sz w:val="16"/>
              </w:rPr>
              <w:t>Explicit, verified source dependencies</w:t>
            </w:r>
          </w:p>
        </w:tc>
        <w:tc>
          <w:tcPr>
            <w:tcW w:type="dxa" w:w="3341"/>
            <w:vAlign w:val="center"/>
            <w:shd w:fill="F3F6FA"/>
          </w:tcPr>
          <w:p>
            <w:pPr>
              <w:spacing w:after="20"/>
            </w:pPr>
            <w:r>
              <w:rPr>
                <w:sz w:val="16"/>
              </w:rPr>
              <w:t>Ignore unverified semantic edges for technical instructions</w:t>
            </w:r>
          </w:p>
        </w:tc>
      </w:tr>
      <w:tr>
        <w:trPr>
          <w:cantSplit/>
        </w:trPr>
        <w:tc>
          <w:tcPr>
            <w:tcW w:type="dxa" w:w="3341"/>
            <w:vAlign w:val="center"/>
          </w:tcPr>
          <w:p>
            <w:pPr>
              <w:spacing w:after="20"/>
            </w:pPr>
            <w:r>
              <w:rPr>
                <w:sz w:val="16"/>
              </w:rPr>
              <w:t>Evidence sufficiency gate</w:t>
            </w:r>
          </w:p>
        </w:tc>
        <w:tc>
          <w:tcPr>
            <w:tcW w:type="dxa" w:w="3341"/>
            <w:vAlign w:val="center"/>
          </w:tcPr>
          <w:p>
            <w:pPr>
              <w:spacing w:after="20"/>
            </w:pPr>
            <w:r>
              <w:rPr>
                <w:sz w:val="16"/>
              </w:rPr>
              <w:t>Applicability, prerequisites, coverage and warnings</w:t>
            </w:r>
          </w:p>
        </w:tc>
        <w:tc>
          <w:tcPr>
            <w:tcW w:type="dxa" w:w="3341"/>
            <w:vAlign w:val="center"/>
          </w:tcPr>
          <w:p>
            <w:pPr>
              <w:spacing w:after="20"/>
            </w:pPr>
            <w:r>
              <w:rPr>
                <w:sz w:val="16"/>
              </w:rPr>
              <w:t>Clarify or abstain</w:t>
            </w:r>
          </w:p>
        </w:tc>
      </w:tr>
      <w:tr>
        <w:trPr>
          <w:cantSplit/>
        </w:trPr>
        <w:tc>
          <w:tcPr>
            <w:tcW w:type="dxa" w:w="3341"/>
            <w:vAlign w:val="center"/>
            <w:shd w:fill="F3F6FA"/>
          </w:tcPr>
          <w:p>
            <w:pPr>
              <w:spacing w:after="20"/>
            </w:pPr>
            <w:r>
              <w:rPr>
                <w:sz w:val="16"/>
              </w:rPr>
              <w:t>Generative model</w:t>
            </w:r>
          </w:p>
        </w:tc>
        <w:tc>
          <w:tcPr>
            <w:tcW w:type="dxa" w:w="3341"/>
            <w:vAlign w:val="center"/>
            <w:shd w:fill="F3F6FA"/>
          </w:tcPr>
          <w:p>
            <w:pPr>
              <w:spacing w:after="20"/>
            </w:pPr>
            <w:r>
              <w:rPr>
                <w:sz w:val="16"/>
              </w:rPr>
              <w:t>Natural-language presentation</w:t>
            </w:r>
          </w:p>
        </w:tc>
        <w:tc>
          <w:tcPr>
            <w:tcW w:type="dxa" w:w="3341"/>
            <w:vAlign w:val="center"/>
            <w:shd w:fill="F3F6FA"/>
          </w:tcPr>
          <w:p>
            <w:r>
              <w:t>Complete private draft followed by separate strict question-coverage and claim-support verifier; fail closed</w:t>
            </w:r>
          </w:p>
        </w:tc>
      </w:tr>
      <w:tr>
        <w:trPr>
          <w:cantSplit/>
        </w:trPr>
        <w:tc>
          <w:tcPr>
            <w:tcW w:type="dxa" w:w="3341"/>
            <w:vAlign w:val="center"/>
          </w:tcPr>
          <w:p>
            <w:pPr>
              <w:spacing w:after="20"/>
            </w:pPr>
            <w:r>
              <w:t>Optional legacy state machine</w:t>
            </w:r>
          </w:p>
        </w:tc>
        <w:tc>
          <w:tcPr>
            <w:tcW w:type="dxa" w:w="3341"/>
            <w:vAlign w:val="center"/>
          </w:tcPr>
          <w:p>
            <w:pPr>
              <w:spacing w:after="20"/>
            </w:pPr>
            <w:r>
              <w:t>Optional documented diagnostic flow; never a gate for ordinary manual Q&amp;A</w:t>
            </w:r>
          </w:p>
        </w:tc>
        <w:tc>
          <w:tcPr>
            <w:tcW w:type="dxa" w:w="3341"/>
            <w:vAlign w:val="center"/>
          </w:tcPr>
          <w:p>
            <w:pPr>
              <w:spacing w:after="20"/>
            </w:pPr>
            <w:r>
              <w:rPr>
                <w:sz w:val="16"/>
              </w:rPr>
              <w:t>OEM referral if no valid path remains</w:t>
            </w:r>
          </w:p>
        </w:tc>
      </w:tr>
    </w:tbl>
    <w:p>
      <w:pPr>
        <w:spacing w:after="0"/>
      </w:pPr>
      <w:r>
        <w:t>This specification describes versioned layout-aware manual retrieval and open question answering. The drafting LLM privately answers the rider question from applicable assembled evidence. A separate verifier evaluates meaningful question coverage and technical claim support; application checks and durable save precede buffered delivery. No answer catalogue or registered step is a universal admission condition.</w:t>
      </w:r>
    </w:p>
    <w:p>
      <w:pPr>
        <w:pStyle w:val="Heading1"/>
      </w:pPr>
      <w:r>
        <w:rPr>
          <w:color w:val="000000"/>
        </w:rPr>
        <w:t>2  Versioned hosted ingestion pipeline</w:t>
      </w:r>
    </w:p>
    <w:p>
      <w:pPr>
        <w:pStyle w:val="ListNumber"/>
      </w:pPr>
      <w:r>
        <w:t>Register manual: OEM, model, year range, variant, document edition, original URL, local hash SHA-256, language and rights status</w:t>
      </w:r>
    </w:p>
    <w:p>
      <w:pPr>
        <w:pStyle w:val="ListNumber"/>
      </w:pPr>
      <w:r>
        <w:t>Parse each page with Docling or another layout-aware parser; retain PDF index, printed page label, headings, reading order, tables, images, warning/caution objects and bbox</w:t>
      </w:r>
    </w:p>
    <w:p>
      <w:pPr>
        <w:pStyle w:val="ListNumber"/>
      </w:pPr>
      <w:r>
        <w:t>Create typed evidence objects: PROCEDURE, STEP, CONDITION, WARNING, SPEC_TABLE, TABLE_ROW, FIGURE, SECTION, CROSS_REFERENCE</w:t>
      </w:r>
    </w:p>
    <w:p>
      <w:pPr>
        <w:pStyle w:val="ListNumber"/>
      </w:pPr>
      <w:r>
        <w:t>Apply hierarchical or hybrid chunking to the typed structure; enrich each child with section path and variant; preserve full parent procedure for answer assembly</w:t>
      </w:r>
    </w:p>
    <w:p>
      <w:pPr>
        <w:pStyle w:val="ListNumber"/>
      </w:pPr>
      <w:r>
        <w:t>For tables, repeat headers, dimensions/units and variant tags; never embed anonymous numeric cells without headers</w:t>
      </w:r>
    </w:p>
    <w:p>
      <w:pPr>
        <w:pStyle w:val="ListNumber"/>
      </w:pPr>
      <w:r>
        <w:t>For images, store page crop, caption, nearby explanatory paragraphs and figure relationship; uncertain diagram interpretation is a review flag</w:t>
      </w:r>
    </w:p>
    <w:p>
      <w:pPr>
        <w:pStyle w:val="ListNumber"/>
      </w:pPr>
      <w:r>
        <w:t>Build a dense vector index and sparse BM25 index; link both to stable evidence IDs; do not regenerate on every request</w:t>
      </w:r>
    </w:p>
    <w:p>
      <w:pPr>
        <w:pStyle w:val="ListNumber"/>
      </w:pPr>
      <w:r>
        <w:t>Build explicit edges from headings, figure links, in-document cross-references, preconditions, warnings and NEXT_STEP references</w:t>
      </w:r>
    </w:p>
    <w:p>
      <w:pPr>
        <w:pStyle w:val="ListNumber"/>
      </w:pPr>
      <w:r>
        <w:t>Run ingestion QA: page/object counts, missing pages, table header preservation, warning detection and extraction confidence flags</w:t>
      </w:r>
    </w:p>
    <w:p>
      <w:pPr>
        <w:pStyle w:val="Heading1"/>
      </w:pPr>
      <w:r>
        <w:rPr>
          <w:color w:val="000000"/>
        </w:rPr>
        <w:t>3  Core data contracts</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Entity</w:t>
            </w:r>
          </w:p>
        </w:tc>
        <w:tc>
          <w:tcPr>
            <w:tcW w:type="dxa" w:w="5011"/>
            <w:shd w:fill="102238"/>
          </w:tcPr>
          <w:p>
            <w:pPr>
              <w:keepNext/>
            </w:pPr>
            <w:r>
              <w:rPr>
                <w:b/>
                <w:color w:val="FFFFFF"/>
                <w:sz w:val="16"/>
              </w:rPr>
              <w:t>Required fields</w:t>
            </w:r>
          </w:p>
        </w:tc>
      </w:tr>
      <w:tr>
        <w:trPr>
          <w:cantSplit/>
        </w:trPr>
        <w:tc>
          <w:tcPr>
            <w:tcW w:type="dxa" w:w="5011"/>
            <w:vAlign w:val="center"/>
          </w:tcPr>
          <w:p>
            <w:pPr>
              <w:spacing w:after="20"/>
            </w:pPr>
            <w:r>
              <w:rPr>
                <w:sz w:val="16"/>
              </w:rPr>
              <w:t>Manual</w:t>
            </w:r>
          </w:p>
        </w:tc>
        <w:tc>
          <w:tcPr>
            <w:tcW w:type="dxa" w:w="5011"/>
            <w:vAlign w:val="center"/>
          </w:tcPr>
          <w:p>
            <w:pPr>
              <w:spacing w:after="20"/>
            </w:pPr>
            <w:r>
              <w:rPr>
                <w:sz w:val="16"/>
              </w:rPr>
              <w:t>manual_id, oem, model, variant, year_range, edition, language, checksum, rights_status, source_uri</w:t>
            </w:r>
          </w:p>
        </w:tc>
      </w:tr>
      <w:tr>
        <w:trPr>
          <w:cantSplit/>
        </w:trPr>
        <w:tc>
          <w:tcPr>
            <w:tcW w:type="dxa" w:w="5011"/>
            <w:vAlign w:val="center"/>
            <w:shd w:fill="F3F6FA"/>
          </w:tcPr>
          <w:p>
            <w:pPr>
              <w:spacing w:after="20"/>
            </w:pPr>
            <w:r>
              <w:rPr>
                <w:sz w:val="16"/>
              </w:rPr>
              <w:t>EvidenceObject</w:t>
            </w:r>
          </w:p>
        </w:tc>
        <w:tc>
          <w:tcPr>
            <w:tcW w:type="dxa" w:w="5011"/>
            <w:vAlign w:val="center"/>
            <w:shd w:fill="F3F6FA"/>
          </w:tcPr>
          <w:p>
            <w:pPr>
              <w:spacing w:after="20"/>
            </w:pPr>
            <w:r>
              <w:rPr>
                <w:sz w:val="16"/>
              </w:rPr>
              <w:t>evidence_id, manual_id, type, text_or_asset_ref, section_path, pdf_page_index, printed_page_label, bbox, extraction_status</w:t>
            </w:r>
          </w:p>
        </w:tc>
      </w:tr>
      <w:tr>
        <w:trPr>
          <w:cantSplit/>
        </w:trPr>
        <w:tc>
          <w:tcPr>
            <w:tcW w:type="dxa" w:w="5011"/>
            <w:vAlign w:val="center"/>
          </w:tcPr>
          <w:p>
            <w:pPr>
              <w:spacing w:after="20"/>
            </w:pPr>
            <w:r>
              <w:rPr>
                <w:sz w:val="16"/>
              </w:rPr>
              <w:t>Chunk</w:t>
            </w:r>
          </w:p>
        </w:tc>
        <w:tc>
          <w:tcPr>
            <w:tcW w:type="dxa" w:w="5011"/>
            <w:vAlign w:val="center"/>
          </w:tcPr>
          <w:p>
            <w:pPr>
              <w:spacing w:after="20"/>
            </w:pPr>
            <w:r>
              <w:rPr>
                <w:sz w:val="16"/>
              </w:rPr>
              <w:t>chunk_id, evidence_ids, parent_procedure_id, index_text, dense_vector_ref, sparse_ref, variant_tags, token_count</w:t>
            </w:r>
          </w:p>
        </w:tc>
      </w:tr>
      <w:tr>
        <w:trPr>
          <w:cantSplit/>
        </w:trPr>
        <w:tc>
          <w:tcPr>
            <w:tcW w:type="dxa" w:w="5011"/>
            <w:vAlign w:val="center"/>
            <w:shd w:fill="F3F6FA"/>
          </w:tcPr>
          <w:p>
            <w:pPr>
              <w:spacing w:after="20"/>
            </w:pPr>
            <w:r>
              <w:rPr>
                <w:sz w:val="16"/>
              </w:rPr>
              <w:t>DocumentEdge</w:t>
            </w:r>
          </w:p>
        </w:tc>
        <w:tc>
          <w:tcPr>
            <w:tcW w:type="dxa" w:w="5011"/>
            <w:vAlign w:val="center"/>
            <w:shd w:fill="F3F6FA"/>
          </w:tcPr>
          <w:p>
            <w:pPr>
              <w:spacing w:after="20"/>
            </w:pPr>
            <w:r>
              <w:rPr>
                <w:sz w:val="16"/>
              </w:rPr>
              <w:t>from_evidence_id, to_evidence_id, edge_type, provenance, verified_boolean</w:t>
            </w:r>
          </w:p>
        </w:tc>
      </w:tr>
      <w:tr>
        <w:trPr>
          <w:cantSplit/>
        </w:trPr>
        <w:tc>
          <w:tcPr>
            <w:tcW w:type="dxa" w:w="5011"/>
            <w:vAlign w:val="center"/>
          </w:tcPr>
          <w:p>
            <w:pPr>
              <w:spacing w:after="20"/>
            </w:pPr>
            <w:r>
              <w:t>ConversationSession legacy diagnostic fields optional</w:t>
            </w:r>
          </w:p>
        </w:tc>
        <w:tc>
          <w:tcPr>
            <w:tcW w:type="dxa" w:w="5011"/>
            <w:vAlign w:val="center"/>
          </w:tcPr>
          <w:p>
            <w:pPr>
              <w:spacing w:after="20"/>
            </w:pPr>
            <w:r>
              <w:rPr>
                <w:sz w:val="16"/>
              </w:rPr>
              <w:t>session_id, manual_id, bike_variant, current_symptoms, known_observations, attempted_steps, excluded_branches, status, version</w:t>
            </w:r>
          </w:p>
        </w:tc>
      </w:tr>
      <w:tr>
        <w:trPr>
          <w:cantSplit/>
        </w:trPr>
        <w:tc>
          <w:tcPr>
            <w:tcW w:type="dxa" w:w="5011"/>
            <w:vAlign w:val="center"/>
            <w:shd w:fill="F3F6FA"/>
          </w:tcPr>
          <w:p>
            <w:pPr>
              <w:spacing w:after="20"/>
            </w:pPr>
            <w:r>
              <w:rPr>
                <w:sz w:val="16"/>
              </w:rPr>
              <w:t>StepAttempt</w:t>
            </w:r>
          </w:p>
        </w:tc>
        <w:tc>
          <w:tcPr>
            <w:tcW w:type="dxa" w:w="5011"/>
            <w:vAlign w:val="center"/>
            <w:shd w:fill="F3F6FA"/>
          </w:tcPr>
          <w:p>
            <w:pPr>
              <w:spacing w:after="20"/>
            </w:pPr>
            <w:r>
              <w:rPr>
                <w:sz w:val="16"/>
              </w:rPr>
              <w:t>step_id, condition_id, outcome_enum, observed_details, supporting_user_turn_id, timestamp, superseded_by</w:t>
            </w:r>
          </w:p>
        </w:tc>
      </w:tr>
      <w:tr>
        <w:trPr>
          <w:cantSplit/>
        </w:trPr>
        <w:tc>
          <w:tcPr>
            <w:tcW w:type="dxa" w:w="5011"/>
            <w:vAlign w:val="center"/>
          </w:tcPr>
          <w:p>
            <w:pPr>
              <w:spacing w:after="20"/>
            </w:pPr>
            <w:r>
              <w:rPr>
                <w:sz w:val="16"/>
              </w:rPr>
              <w:t>EvidenceBundle</w:t>
            </w:r>
          </w:p>
        </w:tc>
        <w:tc>
          <w:tcPr>
            <w:tcW w:type="dxa" w:w="5011"/>
            <w:vAlign w:val="center"/>
          </w:tcPr>
          <w:p>
            <w:pPr>
              <w:spacing w:after="20"/>
            </w:pPr>
            <w:r>
              <w:t>query_id, manual_checksum, immutable source IDs, required/attached/missing context, source review/version, conflicts, applicability, completeness; legacy step dependency fields optional</w:t>
            </w:r>
          </w:p>
        </w:tc>
      </w:tr>
      <w:tr>
        <w:trPr>
          <w:cantSplit/>
        </w:trPr>
        <w:tc>
          <w:tcPr>
            <w:tcW w:type="dxa" w:w="5011"/>
            <w:vAlign w:val="center"/>
            <w:shd w:fill="F3F6FA"/>
          </w:tcPr>
          <w:p>
            <w:pPr>
              <w:spacing w:after="20"/>
            </w:pPr>
            <w:r>
              <w:rPr>
                <w:sz w:val="16"/>
              </w:rPr>
              <w:t>Response</w:t>
            </w:r>
          </w:p>
        </w:tc>
        <w:tc>
          <w:tcPr>
            <w:tcW w:type="dxa" w:w="5011"/>
            <w:vAlign w:val="center"/>
            <w:shd w:fill="F3F6FA"/>
          </w:tcPr>
          <w:p>
            <w:pPr>
              <w:spacing w:after="20"/>
            </w:pPr>
            <w:r>
              <w:t>type, response text, claim_evidence_map, server citations, partial-support limits, accepted_response_hash, evidence_binding_hash, operation_id; legacy step/clarification fields optional</w:t>
            </w:r>
          </w:p>
        </w:tc>
      </w:tr>
      <w:tr>
        <w:trPr>
          <w:cantSplit/>
        </w:trPr>
        <w:tc>
          <w:tcPr>
            <w:tcW w:type="dxa" w:w="5011"/>
            <w:vAlign w:val="center"/>
          </w:tcPr>
          <w:p>
            <w:pPr>
              <w:spacing w:after="20"/>
            </w:pPr>
            <w:r>
              <w:t>Legacy optional StepDefinition</w:t>
            </w:r>
          </w:p>
        </w:tc>
        <w:tc>
          <w:tcPr>
            <w:tcW w:type="dxa" w:w="5011"/>
            <w:vAlign w:val="center"/>
          </w:tcPr>
          <w:p>
            <w:pPr>
              <w:spacing w:after="20"/>
            </w:pPr>
            <w:r>
              <w:rPr>
                <w:sz w:val="16"/>
              </w:rPr>
              <w:t>step_id, manual_checksum, action_evidence_ids, parent_procedure_id, symptom_tags, applicability_rule_ids, required_evidence_ids, dependency_manifest_version, review_status, rule_version</w:t>
            </w:r>
          </w:p>
        </w:tc>
      </w:tr>
      <w:tr>
        <w:trPr>
          <w:cantSplit/>
        </w:trPr>
        <w:tc>
          <w:tcPr>
            <w:tcW w:type="dxa" w:w="5011"/>
            <w:vAlign w:val="center"/>
            <w:shd w:fill="F3F6FA"/>
          </w:tcPr>
          <w:p>
            <w:pPr>
              <w:spacing w:after="20"/>
            </w:pPr>
            <w:r>
              <w:t>Legacy optional ApplicabilityRule</w:t>
            </w:r>
          </w:p>
        </w:tc>
        <w:tc>
          <w:tcPr>
            <w:tcW w:type="dxa" w:w="5011"/>
            <w:vAlign w:val="center"/>
            <w:shd w:fill="F3F6FA"/>
          </w:tcPr>
          <w:p>
            <w:pPr>
              <w:spacing w:after="20"/>
            </w:pPr>
            <w:r>
              <w:rPr>
                <w:sz w:val="16"/>
              </w:rPr>
              <w:t>rule_id, predicate_type, fact_key, operator, expected_value, unit, origin, source_evidence_ids, policy_version, clarification_evidence_ids, review_status, rule_version</w:t>
            </w:r>
          </w:p>
        </w:tc>
      </w:tr>
      <w:tr>
        <w:trPr>
          <w:cantSplit/>
        </w:trPr>
        <w:tc>
          <w:tcPr>
            <w:tcW w:type="dxa" w:w="5011"/>
            <w:vAlign w:val="center"/>
          </w:tcPr>
          <w:p>
            <w:pPr>
              <w:spacing w:after="20"/>
            </w:pPr>
            <w:r>
              <w:t>Legacy optional EligibilityDecision</w:t>
            </w:r>
          </w:p>
        </w:tc>
        <w:tc>
          <w:tcPr>
            <w:tcW w:type="dxa" w:w="5011"/>
            <w:vAlign w:val="center"/>
          </w:tcPr>
          <w:p>
            <w:pPr>
              <w:spacing w:after="20"/>
            </w:pPr>
            <w:r>
              <w:rPr>
                <w:sz w:val="16"/>
              </w:rPr>
              <w:t>step_id, eligibility_status, condition_results, reason_codes, supporting_evidence_ids, rule_version, dependency_manifest_version, session_version</w:t>
            </w:r>
          </w:p>
        </w:tc>
      </w:tr>
      <w:tr>
        <w:tc>
          <w:tcPr>
            <w:tcW w:type="dxa" w:w="5011"/>
            <w:vAlign w:val="center"/>
            <w:shd w:fill="F3F6FA"/>
          </w:tcPr>
          <w:p>
            <w:r>
              <w:rPr>
                <w:sz w:val="16"/>
              </w:rPr>
              <w:t>RetrievalDecision</w:t>
            </w:r>
          </w:p>
        </w:tc>
        <w:tc>
          <w:tcPr>
            <w:tcW w:type="dxa" w:w="5011"/>
            <w:vAlign w:val="center"/>
            <w:shd w:fill="F3F6FA"/>
          </w:tcPr>
          <w:p>
            <w:r>
              <w:rPr>
                <w:sz w:val="16"/>
              </w:rPr>
              <w:t>policy_version/config, calibration_status, mode, uncertainty_signals, decisions, recovery_attempts, rerank_attempts, requested/fetched/missing_evidence_ids, pair_count, skip_reason, stages_seconds, final_action</w:t>
            </w:r>
          </w:p>
        </w:tc>
      </w:tr>
      <w:tr>
        <w:tc>
          <w:tcPr>
            <w:tcW w:type="dxa" w:w="5011"/>
          </w:tcPr>
          <w:p>
            <w:r>
              <w:t>VerificationVerdict</w:t>
            </w:r>
          </w:p>
        </w:tc>
        <w:tc>
          <w:tcPr>
            <w:tcW w:type="dxa" w:w="5011"/>
          </w:tcPr>
          <w:p>
            <w:r>
              <w:t>question_coverage, per_claim_support, omissions, conflicts, release_eligible, exact_response_hash, evidence_binding_hash, verifier/prompt/schema versions</w:t>
            </w:r>
          </w:p>
        </w:tc>
      </w:tr>
      <w:tr>
        <w:tc>
          <w:tcPr>
            <w:tcW w:type="dxa" w:w="5011"/>
          </w:tcPr>
          <w:p>
            <w:r>
              <w:t>DeliveryOperation</w:t>
            </w:r>
          </w:p>
        </w:tc>
        <w:tc>
          <w:tcPr>
            <w:tcW w:type="dxa" w:w="5011"/>
          </w:tcPr>
          <w:p>
            <w:r>
              <w:t>operation_id, session/version ownership, accepted response/evidence/version hashes, saved buffered response, actual progress stage, delivery cursor, idempotent recovery</w:t>
            </w:r>
          </w:p>
        </w:tc>
      </w:tr>
    </w:tbl>
    <w:p>
      <w:pPr>
        <w:spacing w:after="0"/>
      </w:pPr>
    </w:p>
    <w:p>
      <w:pPr>
        <w:pStyle w:val="Heading1"/>
      </w:pPr>
      <w:r>
        <w:rPr>
          <w:color w:val="000000"/>
        </w:rPr>
        <w:t>4  Retrieval + evidence assembly contract</w:t>
      </w:r>
    </w:p>
    <w:p>
      <w:r>
        <w:t>First-stage dense retrieval uses cosine similarity or the embedding model's recommended metric. Sparse BM25 retrieval handles exact warning labels, component codes and units. Fuse ranks with Reciprocal Rank Fusion, assemble initial parent and verified dependency context, and inspect ranking uncertainty separately from source applicability and evidence coverage. Conditionally rerank a bounded candidate pool before reassembly and the controller/answer gates.</w:t>
      </w:r>
    </w:p>
    <w:p>
      <w:r>
        <w:t>The hosted prototype uses a fused pool of 20 candidates and selects five hits for assembly. One recovery may widen the fused pool to 40 and fetch exact reviewed dependency IDs. Reranking scores at most 20 candidates and 100 token-bounded query/passage pairs. At most 256 mandatory dependency IDs may be attached; an over-limit manifest fails as SYSTEM_ERROR and must not be silently truncated. These limits and trigger thresholds are versioned starting hypotheses, to be calibrated on independently reviewed cases.</w:t>
      </w:r>
    </w:p>
    <w:p>
      <w:pPr>
        <w:pStyle w:val="ListBullet"/>
      </w:pPr>
      <w:r>
        <w:t>Apply hard filters by selected manual ID, model/variant, publication version and language before ranking</w:t>
      </w:r>
    </w:p>
    <w:p>
      <w:pPr>
        <w:pStyle w:val="ListBullet"/>
      </w:pPr>
      <w:r>
        <w:t>Edge expansion should be selective: always include required warnings/prerequisites; retrieve only referenced figures/specifications, not the whole manual</w:t>
      </w:r>
    </w:p>
    <w:p>
      <w:pPr>
        <w:pStyle w:val="ListBullet"/>
      </w:pPr>
      <w:r>
        <w:t>For each candidate, compute evidence coverage over requested step, conditions, warnings, variant-specific values and referenced sections</w:t>
      </w:r>
    </w:p>
    <w:p>
      <w:pPr>
        <w:pStyle w:val="ListBullet"/>
      </w:pPr>
      <w:r>
        <w:t>If an approved dependency set is incomplete, permit one bounded recovery that fetches the exact required objects and widens retrieval once. If dependencies remain unavailable, withhold technical advice and record a non-rider-resolvable source gap. Allow at most one subsequent reranking attempt when ordering remains uncertain and all source/applicability checks permit it; never loop between search, reranking and generation.</w:t>
      </w:r>
    </w:p>
    <w:p>
      <w:pPr>
        <w:pStyle w:val="ListBullet"/>
      </w:pPr>
      <w:r>
        <w:t>Cosine similarity and reranker scores are relevance heuristics, never proof that an instruction is supported</w:t>
      </w:r>
    </w:p>
    <w:p>
      <w:pPr>
        <w:pStyle w:val="Heading2"/>
      </w:pPr>
      <w:r>
        <w:rPr>
          <w:color w:val="000000"/>
        </w:rPr>
        <w:t>4 1 Evidence dependency manifest</w:t>
      </w:r>
    </w:p>
    <w:p>
      <w:pPr/>
      <w:r>
        <w:t>During versioned ingestion, bind searchable children to traceable source objects and reviewed section or procedure context. Preserve conditions, prerequisites, warnings, table headers and units, variant labels and referenced figures or sections needed to answer. Source-dependent context completeness is reviewed independently of authored questions or answer scopes. Optional legacy step manifests may remain; they are not universal Q&amp;A gates.</w:t>
      </w:r>
    </w:p>
    <w:p>
      <w:pPr/>
      <w:r>
        <w:t>The assembler returns required, attached and missing immutable evidence IDs together with exact source/context versions and review status. Missing required source context blocks the affected claim or limits the supported answer. A table object alone is insufficient when headers, units or applicable variant context are missing. Whole-source or parent-body authority is never inferred from a label, ranking score or authored answer approval.</w:t>
      </w:r>
    </w:p>
    <w:p>
      <w:pPr/>
      <w:r>
        <w:t>Perform the existing bounded recovery search for missing dependencies and record its outcome. A source gap that the rider cannot resolve must block the instruction and enter source review or abstention; do not ask the rider to supply a missing manual warning or table header. Retrieval outages, invalid index objects and other operational failures return SYSTEM_ERROR. Cross-encoder scores rank relevance and cannot approve a dependency manifest, infer a diagnostic order or waive missing evidence.</w:t>
      </w:r>
    </w:p>
    <w:p>
      <w:pPr>
        <w:pStyle w:val="Heading2"/>
      </w:pPr>
      <w:r>
        <w:rPr>
          <w:color w:val="000000"/>
        </w:rPr>
        <w:t>4 2 Conditional reranking and bounded recovery</w:t>
      </w:r>
    </w:p>
    <w:p>
      <w:pPr/>
      <w:r>
        <w:t>The normal request path uses conditional reranking. Clearly ordered candidates with complete reviewed dependencies continue to the eligibility and answer gates. Reranking handles uncertain ordering among plausible candidates; evidence recovery handles required objects absent from the initial bundle. Similarity, RRF and cross-encoder scores cannot prove support or approve a procedure.</w:t>
      </w:r>
    </w:p>
    <w:p>
      <w:pPr/>
      <w:r>
        <w:t>Trigger signals compare distinct parent sections: disagreement between dense and BM25 top sections, or a narrow relative RRF margin between the two leading sections. Sibling chunks from the same section do not create ambiguity. Zero BM25 matches provide no sparse-agreement signal. Initial experimental values are top-three section overlap below 0.5 or relative RRF margin at most 0.05. Mark these values PROVISIONAL_UNCALIBRATED; use reviewed tuning cases to calibrate them and held-out cases to assess their effect before a release decision.</w:t>
      </w:r>
    </w:p>
    <w:p>
      <w:pPr/>
      <w:r>
        <w:t>Apply source applicability, source integrity and evidence-context controls before drafting. Known errors remain SYSTEM_ERROR; source-review gaps cannot become rider questions. Preserve verified safety-stop precedence and source restrictions. One approved missing dependency may trigger exact-ID recovery and one bounded retrieval expansion. Uncertain candidate ordering may trigger one permitted conditional rerank. No pre-draft assess-evidence-first model call is added.</w:t>
      </w:r>
    </w:p>
    <w:p>
      <w:pPr/>
      <w:r>
        <w:t>Reassemble after reranking and retain applicable mandatory warnings, prerequisites, headers, units, specifications and referenced context. Reranking does not select a diagnostic action or infer OEM ordering. The private draft and separate verifier address the actual question; optional legacy controller eligibility is not a universal Q&amp;A release gate.</w:t>
      </w:r>
    </w:p>
    <w:p>
      <w:pPr/>
      <w:r>
        <w:t>Operational failures in embedding, retrieval, assembly or the cross-encoder yield SYSTEM_ERROR with a typed error class and recorded attempts. A query exceeding the current cross-encoder's 128-token input bound, or work exceeding 100 query/passage pairs, skips that inference with an explicit reason and keeps ranking unresolved. Preserve the full query and source text; never silently truncate a rider report or mandatory evidence. A source gap cannot be resolved by asking the rider to supply a missing manual warning or table header.</w:t>
      </w:r>
    </w:p>
    <w:p>
      <w:pPr/>
      <w:r>
        <w:t>Return a RetrievalDecision with policy version/configuration, calibration status, execution mode, uncertainty signals, decision history, recovery/rerank attempt counts, exact missing/fetched evidence IDs, pair count, skip reason and stage durations. Conditional mode is the normal code path; off and always_diagnostic modes exist only for ablations. Always-diagnostic execution can bypass the scheduling decision but cannot bypass evidence, applicability, safety or answer-release gates. A generic insufficient-bundle flag must never trigger reranking by itself.</w:t>
      </w:r>
    </w:p>
    <w:p>
      <w:pPr/>
      <w:r>
        <w:t>Preserve exact immutable source IDs, original-page provenance and approved source-object bindings. Source-integrity review is distinct from authored-answer approval; the frozen 161-case v3 package and its exact bytes remain unchanged. Parent labels do not authorize whole parent bodies. Restore applicable warnings, prerequisites, table headers, units and referenced context only through reviewed source relationships. Page 103 fallback and unresolved source-specific limitations remain explicit. Rider PDF, excerpt and figure-crop delivery remains prohibited under source_manifest.json; use verified paraphrases and server-derived citation metadata.</w:t>
      </w:r>
    </w:p>
    <w:p>
      <w:pPr/>
      <w:r>
        <w:t>Evaluate off, always and conditional policies on the same independently reviewed cases. Record complete evidence recall, rescued and regressed cases, proper abstention, wrong-variant leakage, trigger precision/recall, reranking frequency, per-stage latency, TTFO and cost per correctly handled case. Adopt calibrated conditional reranking for release only if it improves reviewed outcomes without violating latency/cost and safety gates. The existing 27 draft in-sample page-coverage probes cannot establish that result.</w:t>
      </w:r>
    </w:p>
    <w:p>
      <w:pPr/>
      <w:r>
        <w:t>Cross-encoder retrieval reference: https://www.sbert.net/examples/sentence_transformer/applications/retrieve_rerank/README.html</w:t>
      </w:r>
    </w:p>
    <w:p>
      <w:pPr>
        <w:pStyle w:val="Heading1"/>
      </w:pPr>
      <w:r>
        <w:rPr>
          <w:color w:val="000000"/>
        </w:rPr>
        <w:t>5  Typed history and optional legacy troubleshooting</w:t>
      </w:r>
    </w:p>
    <w:p>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pPr>
        <w:pStyle w:val="Heading2"/>
      </w:pPr>
      <w:r>
        <w:rPr>
          <w:color w:val="000000"/>
        </w:rPr>
        <w:t>5 1 Reviewed step registry and rule authoring</w:t>
      </w:r>
    </w:p>
    <w:p>
      <w:pPr/>
      <w:r>
        <w:t>Optional legacy troubleshooting may retain source-reviewed StepDefinition and ApplicabilityRule records. Their fields and authoring rules below describe that optional feature only. Open manual Q&amp;A, including supported procedure questions, does not require these records or their action scopes. Applicable source conditions, prerequisites and warnings still govern the answer and are checked by the verifier.</w:t>
      </w:r>
    </w:p>
    <w:p>
      <w:pPr/>
      <w:r>
        <w:t>Every manual-derived predicate must retain its supporting evidence IDs and page provenance. Record origin as MANUAL for OEM conditions and PRODUCT_POLICY for application behavior such as avoiding repeated attempts; policy rules carry their own version and must never be presented as OEM instructions. Relevance tags and rider intent mappings help select candidates, while the reviewed predicates establish applicability. Uncertain interpretation of the rider report remains an unknown observation until clarified.</w:t>
      </w:r>
    </w:p>
    <w:p>
      <w:pPr/>
      <w:r>
        <w:t>When the manual lists possible causes or independently documented checks without branch conditions or an explicit next-step order, preserve those limits. Do not infer a condition, eliminate an undocumented branch, diagnose a fault from a negative clue or claim an OEM ranking from retrieval scores. The existing SM-04 policy governs selecting among independently documented eligible checks.</w:t>
      </w:r>
    </w:p>
    <w:p>
      <w:pPr>
        <w:pStyle w:val="Heading2"/>
      </w:pPr>
      <w:r>
        <w:rPr>
          <w:color w:val="000000"/>
        </w:rPr>
        <w:t>5 2 Three valued eligibility checks</w:t>
      </w:r>
    </w:p>
    <w:p>
      <w:pPr/>
      <w:r>
        <w:t>Evaluate reviewed conditions against typed session facts using TRUE, FALSE and UNKNOWN. A condition is UNKNOWN when its observation is missing, uncertain or invalid; a confirmed mismatch is FALSE. A step is ineligible when any required condition is FALSE, its source or review status is invalid, its branch has been validly excluded, or its attempt history blocks repetition. If no required condition is false but a relevant condition is unknown, withhold the action and ask one reviewed source-derived question when the rider can reliably resolve it. Unknown is never treated as true or normal.</w:t>
      </w:r>
    </w:p>
    <w:p>
      <w:pPr/>
      <w:r>
        <w:t>Within the optional legacy flow, a step becomes eligible only when its reviewed manual conditions, warnings and attempt history permit it. Ordinary manual Q&amp;A uses source applicability, source context, private drafting, separate semantic verification and application integrity checks without fabricating or requiring a step record.</w:t>
      </w:r>
    </w:p>
    <w:p>
      <w:pPr/>
      <w:r>
        <w:t>Implement rule predicates with allowlisted typed comparisons such as enum equality, boolean facts and numeric comparisons with explicit units. Treat the PDF and model output as data; do not execute extracted expressions as code. Return an EligibilityDecision with each condition result, reason code, evidence reference, registry version and session version. ACTION_COMPLETED_UNRESOLVED records an attempted action and never supplies an OBSERVED_NORMAL fact. Optional interpretation models may propose typed observations or rank already eligible candidates; their output cannot bypass the controller gates.</w:t>
      </w:r>
    </w:p>
    <w:p>
      <w:pPr>
        <w:pStyle w:val="Heading2"/>
      </w:pPr>
      <w:r>
        <w:rPr>
          <w:color w:val="000000"/>
        </w:rPr>
        <w:t>5 3 Controller behavior</w:t>
      </w:r>
    </w:p>
    <w:p>
      <w:pPr/>
      <w:r>
        <w:t>Historical flow illustration retained for provenance. This drawing predates the current draft verify stream decision; the current architecture text governs.</w:t>
      </w:r>
    </w:p>
    <w:p>
      <w:pPr>
        <w:jc w:val="center"/>
      </w:pPr>
      <w:r>
        <w:drawing>
          <wp:inline xmlns:a="http://schemas.openxmlformats.org/drawingml/2006/main" xmlns:pic="http://schemas.openxmlformats.org/drawingml/2006/picture">
            <wp:extent cx="5989320" cy="4159250"/>
            <wp:docPr id="1" name="Picture 1"/>
            <wp:cNvGraphicFramePr>
              <a:graphicFrameLocks noChangeAspect="1"/>
            </wp:cNvGraphicFramePr>
            <a:graphic>
              <a:graphicData uri="http://schemas.openxmlformats.org/drawingml/2006/picture">
                <pic:pic>
                  <pic:nvPicPr>
                    <pic:cNvPr id="0" name="adaptive_state.png"/>
                    <pic:cNvPicPr/>
                  </pic:nvPicPr>
                  <pic:blipFill>
                    <a:blip r:embed="rId11"/>
                    <a:stretch>
                      <a:fillRect/>
                    </a:stretch>
                  </pic:blipFill>
                  <pic:spPr>
                    <a:xfrm>
                      <a:off x="0" y="0"/>
                      <a:ext cx="5989320" cy="4159250"/>
                    </a:xfrm>
                    <a:prstGeom prst="rect"/>
                  </pic:spPr>
                </pic:pic>
              </a:graphicData>
            </a:graphic>
          </wp:inline>
        </w:drawing>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Rule ID</w:t>
            </w:r>
          </w:p>
        </w:tc>
        <w:tc>
          <w:tcPr>
            <w:tcW w:type="dxa" w:w="5011"/>
            <w:shd w:fill="102238"/>
          </w:tcPr>
          <w:p>
            <w:pPr>
              <w:keepNext/>
            </w:pPr>
            <w:r>
              <w:t>Optional legacy controller behavior</w:t>
            </w:r>
          </w:p>
        </w:tc>
      </w:tr>
      <w:tr>
        <w:trPr>
          <w:cantSplit/>
        </w:trPr>
        <w:tc>
          <w:tcPr>
            <w:tcW w:type="dxa" w:w="5011"/>
            <w:vAlign w:val="center"/>
          </w:tcPr>
          <w:p>
            <w:pPr>
              <w:spacing w:after="20"/>
            </w:pPr>
            <w:r>
              <w:rPr>
                <w:sz w:val="16"/>
              </w:rPr>
              <w:t>SM-01</w:t>
            </w:r>
          </w:p>
        </w:tc>
        <w:tc>
          <w:tcPr>
            <w:tcW w:type="dxa" w:w="5011"/>
            <w:vAlign w:val="center"/>
          </w:tcPr>
          <w:p>
            <w:pPr>
              <w:spacing w:after="20"/>
            </w:pPr>
            <w:r>
              <w:rPr>
                <w:sz w:val="16"/>
              </w:rPr>
              <w:t>Each suggested diagnostic step gets a stable step_id and an immutable attempt record; updates supersede earlier observations rather than delete them</w:t>
            </w:r>
          </w:p>
        </w:tc>
      </w:tr>
      <w:tr>
        <w:trPr>
          <w:cantSplit/>
        </w:trPr>
        <w:tc>
          <w:tcPr>
            <w:tcW w:type="dxa" w:w="5011"/>
            <w:vAlign w:val="center"/>
            <w:shd w:fill="F3F6FA"/>
          </w:tcPr>
          <w:p>
            <w:pPr>
              <w:spacing w:after="20"/>
            </w:pPr>
            <w:r>
              <w:rPr>
                <w:sz w:val="16"/>
              </w:rPr>
              <w:t>SM-02</w:t>
            </w:r>
          </w:p>
        </w:tc>
        <w:tc>
          <w:tcPr>
            <w:tcW w:type="dxa" w:w="5011"/>
            <w:vAlign w:val="center"/>
            <w:shd w:fill="F3F6FA"/>
          </w:tcPr>
          <w:p>
            <w:pPr>
              <w:spacing w:after="20"/>
            </w:pPr>
            <w:r>
              <w:rPr>
                <w:sz w:val="16"/>
              </w:rPr>
              <w:t>Only structured observed outcomes can eliminate a branch; “tried but still failing” must not be converted into “normal”</w:t>
            </w:r>
          </w:p>
        </w:tc>
      </w:tr>
      <w:tr>
        <w:trPr>
          <w:cantSplit/>
        </w:trPr>
        <w:tc>
          <w:tcPr>
            <w:tcW w:type="dxa" w:w="5011"/>
            <w:vAlign w:val="center"/>
          </w:tcPr>
          <w:p>
            <w:pPr>
              <w:spacing w:after="20"/>
            </w:pPr>
            <w:r>
              <w:rPr>
                <w:sz w:val="16"/>
              </w:rPr>
              <w:t>SM-03</w:t>
            </w:r>
          </w:p>
        </w:tc>
        <w:tc>
          <w:tcPr>
            <w:tcW w:type="dxa" w:w="5011"/>
            <w:vAlign w:val="center"/>
          </w:tcPr>
          <w:p>
            <w:pPr>
              <w:spacing w:after="20"/>
            </w:pPr>
            <w:r>
              <w:rPr>
                <w:sz w:val="16"/>
              </w:rPr>
              <w:t>Next-step eligibility uses approved StepDefinition and ApplicabilityRule records for the selected checksum/variant, typed condition results, satisfied prerequisites, no prohibiting safety condition and permitted attempt history. Relevance alone cannot authorize a step; complete evidence is required separately before release.</w:t>
            </w:r>
          </w:p>
        </w:tc>
      </w:tr>
      <w:tr>
        <w:trPr>
          <w:cantSplit/>
        </w:trPr>
        <w:tc>
          <w:tcPr>
            <w:tcW w:type="dxa" w:w="5011"/>
            <w:vAlign w:val="center"/>
            <w:shd w:fill="F3F6FA"/>
          </w:tcPr>
          <w:p>
            <w:pPr>
              <w:spacing w:after="20"/>
            </w:pPr>
            <w:r>
              <w:rPr>
                <w:sz w:val="16"/>
              </w:rPr>
              <w:t>SM-04</w:t>
            </w:r>
          </w:p>
        </w:tc>
        <w:tc>
          <w:tcPr>
            <w:tcW w:type="dxa" w:w="5011"/>
            <w:vAlign w:val="center"/>
            <w:shd w:fill="F3F6FA"/>
          </w:tcPr>
          <w:p>
            <w:pPr>
              <w:spacing w:after="20"/>
            </w:pPr>
            <w:r>
              <w:rPr>
                <w:sz w:val="16"/>
              </w:rPr>
              <w:t>Prefer explicit OEM NEXT_STEP order; when no explicit order exists, only recommend another independently documented eligible check and do not imply OEM prioritization</w:t>
            </w:r>
          </w:p>
        </w:tc>
      </w:tr>
      <w:tr>
        <w:trPr>
          <w:cantSplit/>
        </w:trPr>
        <w:tc>
          <w:tcPr>
            <w:tcW w:type="dxa" w:w="5011"/>
            <w:vAlign w:val="center"/>
          </w:tcPr>
          <w:p>
            <w:pPr>
              <w:spacing w:after="20"/>
            </w:pPr>
            <w:r>
              <w:rPr>
                <w:sz w:val="16"/>
              </w:rPr>
              <w:t>SM-05</w:t>
            </w:r>
          </w:p>
        </w:tc>
        <w:tc>
          <w:tcPr>
            <w:tcW w:type="dxa" w:w="5011"/>
            <w:vAlign w:val="center"/>
          </w:tcPr>
          <w:p>
            <w:pPr>
              <w:spacing w:after="20"/>
            </w:pPr>
            <w:r>
              <w:rPr>
                <w:sz w:val="16"/>
              </w:rPr>
              <w:t>When a reviewed branch condition is UNKNOWN, withhold the dependent action and ask one source-derived question if the rider can resolve it. If a source or extraction gap cannot be resolved by rider feedback, route to review/abstention; operational failures remain SYSTEM_ERROR.</w:t>
            </w:r>
          </w:p>
        </w:tc>
      </w:tr>
      <w:tr>
        <w:trPr>
          <w:cantSplit/>
        </w:trPr>
        <w:tc>
          <w:tcPr>
            <w:tcW w:type="dxa" w:w="5011"/>
            <w:vAlign w:val="center"/>
            <w:shd w:fill="F3F6FA"/>
          </w:tcPr>
          <w:p>
            <w:pPr>
              <w:spacing w:after="20"/>
            </w:pPr>
            <w:r>
              <w:rPr>
                <w:sz w:val="16"/>
              </w:rPr>
              <w:t>SM-06</w:t>
            </w:r>
          </w:p>
        </w:tc>
        <w:tc>
          <w:tcPr>
            <w:tcW w:type="dxa" w:w="5011"/>
            <w:vAlign w:val="center"/>
            <w:shd w:fill="F3F6FA"/>
          </w:tcPr>
          <w:p>
            <w:pPr>
              <w:spacing w:after="20"/>
            </w:pPr>
            <w:r>
              <w:rPr>
                <w:sz w:val="16"/>
              </w:rPr>
              <w:t>Do not repeat attempted steps unless the customer corrects an observation, new symptoms change applicability, or the manual explicitly requires a repeat; explain why</w:t>
            </w:r>
          </w:p>
        </w:tc>
      </w:tr>
      <w:tr>
        <w:trPr>
          <w:cantSplit/>
        </w:trPr>
        <w:tc>
          <w:tcPr>
            <w:tcW w:type="dxa" w:w="5011"/>
            <w:vAlign w:val="center"/>
          </w:tcPr>
          <w:p>
            <w:pPr>
              <w:spacing w:after="20"/>
            </w:pPr>
            <w:r>
              <w:rPr>
                <w:sz w:val="16"/>
              </w:rPr>
              <w:t>SM-07</w:t>
            </w:r>
          </w:p>
        </w:tc>
        <w:tc>
          <w:tcPr>
            <w:tcW w:type="dxa" w:w="5011"/>
            <w:vAlign w:val="center"/>
          </w:tcPr>
          <w:p>
            <w:pPr>
              <w:spacing w:after="20"/>
            </w:pPr>
            <w:r>
              <w:rPr>
                <w:sz w:val="16"/>
              </w:rPr>
              <w:t>If no eligible documented step remains, issue OEM escalation with a concise traceable recap</w:t>
            </w:r>
          </w:p>
        </w:tc>
      </w:tr>
      <w:tr>
        <w:trPr>
          <w:cantSplit/>
        </w:trPr>
        <w:tc>
          <w:tcPr>
            <w:tcW w:type="dxa" w:w="5011"/>
            <w:vAlign w:val="center"/>
            <w:shd w:fill="F3F6FA"/>
          </w:tcPr>
          <w:p>
            <w:pPr>
              <w:spacing w:after="20"/>
            </w:pPr>
            <w:r>
              <w:rPr>
                <w:sz w:val="16"/>
              </w:rPr>
              <w:t>SM-08</w:t>
            </w:r>
          </w:p>
        </w:tc>
        <w:tc>
          <w:tcPr>
            <w:tcW w:type="dxa" w:w="5011"/>
            <w:vAlign w:val="center"/>
            <w:shd w:fill="F3F6FA"/>
          </w:tcPr>
          <w:p>
            <w:pPr>
              <w:spacing w:after="20"/>
            </w:pPr>
            <w:r>
              <w:rPr>
                <w:sz w:val="16"/>
              </w:rPr>
              <w:t>Model/version switch invalidates procedural branch assumptions and requires explicit reconfirmation</w:t>
            </w:r>
          </w:p>
        </w:tc>
      </w:tr>
      <w:tr>
        <w:trPr>
          <w:cantSplit/>
        </w:trPr>
        <w:tc>
          <w:tcPr>
            <w:tcW w:type="dxa" w:w="5011"/>
            <w:vAlign w:val="center"/>
          </w:tcPr>
          <w:p>
            <w:pPr>
              <w:spacing w:after="20"/>
            </w:pPr>
            <w:r>
              <w:rPr>
                <w:sz w:val="16"/>
              </w:rPr>
              <w:t>SM-09</w:t>
            </w:r>
          </w:p>
        </w:tc>
        <w:tc>
          <w:tcPr>
            <w:tcW w:type="dxa" w:w="5011"/>
            <w:vAlign w:val="center"/>
          </w:tcPr>
          <w:p>
            <w:pPr>
              <w:spacing w:after="20"/>
            </w:pPr>
            <w:r>
              <w:rPr>
                <w:sz w:val="16"/>
              </w:rPr>
              <w:t>Safety warnings take precedence over ordinary branch selection; unsupported safe workarounds are forbidden</w:t>
            </w:r>
          </w:p>
        </w:tc>
      </w:tr>
      <w:tr>
        <w:trPr>
          <w:cantSplit/>
        </w:trPr>
        <w:tc>
          <w:tcPr>
            <w:tcW w:type="dxa" w:w="5011"/>
            <w:vAlign w:val="center"/>
            <w:shd w:fill="F3F6FA"/>
          </w:tcPr>
          <w:p>
            <w:pPr>
              <w:spacing w:after="20"/>
            </w:pPr>
            <w:r>
              <w:rPr>
                <w:sz w:val="16"/>
              </w:rPr>
              <w:t>SM-10</w:t>
            </w:r>
          </w:p>
        </w:tc>
        <w:tc>
          <w:tcPr>
            <w:tcW w:type="dxa" w:w="5011"/>
            <w:vAlign w:val="center"/>
            <w:shd w:fill="F3F6FA"/>
          </w:tcPr>
          <w:p>
            <w:pPr>
              <w:spacing w:after="20"/>
            </w:pPr>
            <w:r>
              <w:rPr>
                <w:sz w:val="16"/>
              </w:rPr>
              <w:t>When a user reports resolution, close as customer-reported, not mechanically verified</w:t>
            </w:r>
          </w:p>
        </w:tc>
      </w:tr>
    </w:tbl>
    <w:p>
      <w:pPr>
        <w:spacing w:after="0"/>
      </w:pPr>
    </w:p>
    <w:p>
      <w:pPr>
        <w:pStyle w:val="Heading1"/>
      </w:pPr>
      <w:r>
        <w:rPr>
          <w:color w:val="000000"/>
        </w:rPr>
        <w:t>6  Private drafting separate verification and output validation</w:t>
      </w:r>
    </w:p>
    <w:p>
      <w:r>
        <w:t>Draft the complete response privately. Finalize server-added technical wording, warnings and citations before a separate verifier evaluates the exact question, relevant history, complete final response, claim-to-evidence map and assembled sources. Require strict structured question coverage, per-claim support, omissions, conflicts and release eligibility bound to exact response/evidence hashes. Existing citation IDs alone do not prove support. No exact wording, answer scope or registered action is required for ordinary supported answers.</w:t>
      </w:r>
    </w:p>
    <w:p>
      <w:pPr>
        <w:pStyle w:val="Heading2"/>
      </w:pPr>
      <w:r>
        <w:rPr>
          <w:color w:val="000000"/>
        </w:rPr>
        <w:t>6 1 Response routing and release</w:t>
      </w:r>
    </w:p>
    <w:p>
      <w:pPr/>
      <w:r>
        <w:t>Keep SUPPORTED, AMBIGUOUS, UNSUPPORTED, SAFETY_STOP and SYSTEM_ERROR distinct. A supported partial answer states what the evidence supports and what remains unanswered. Ask one focused question only for a rider-resolvable ambiguity needed for the actual question. Source gaps or review decisions are maintainer issues. Malformed output, timeout, outage, exhausted quota or integrity failure is SYSTEM_ERROR, never acceptance or proof of absence from the manual. Preserve verified safety-stop precedence; technical safety wording is also covered by verification before delivery.</w:t>
      </w:r>
    </w:p>
    <w:p>
      <w:pPr/>
      <w:r>
        <w:t>Release a SUPPORTED complete or explicitly partial answer only after whole-response verification, final deterministic integrity checks and durable save. All displayed technical text is within the verified response. The verifier cannot silently rewrite accepted text. Withhold rejected drafts; permit at most one evidence-supported revision followed by verification again. Malformed verifier output, timeout, provider outage, quota exhaustion or binding failure is SYSTEM_ERROR.</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Gate result</w:t>
            </w:r>
          </w:p>
        </w:tc>
        <w:tc>
          <w:tcPr>
            <w:tcW w:type="dxa" w:w="5011"/>
            <w:shd w:fill="102238"/>
          </w:tcPr>
          <w:p>
            <w:pPr>
              <w:keepNext/>
            </w:pPr>
            <w:r>
              <w:rPr>
                <w:b/>
                <w:color w:val="FFFFFF"/>
                <w:sz w:val="16"/>
              </w:rPr>
              <w:t>Behavior</w:t>
            </w:r>
          </w:p>
        </w:tc>
      </w:tr>
      <w:tr>
        <w:trPr>
          <w:cantSplit/>
        </w:trPr>
        <w:tc>
          <w:tcPr>
            <w:tcW w:type="dxa" w:w="5011"/>
            <w:vAlign w:val="center"/>
          </w:tcPr>
          <w:p>
            <w:pPr>
              <w:spacing w:after="20"/>
            </w:pPr>
            <w:r>
              <w:rPr>
                <w:sz w:val="16"/>
              </w:rPr>
              <w:t>SUPPORTED</w:t>
            </w:r>
          </w:p>
        </w:tc>
        <w:tc>
          <w:tcPr>
            <w:tcW w:type="dxa" w:w="5011"/>
            <w:vAlign w:val="center"/>
          </w:tcPr>
          <w:p>
            <w:r>
              <w:t>Whole final response passes semantic verification, application checks and durable save; explicit supported partial answers permitted</w:t>
            </w:r>
          </w:p>
        </w:tc>
      </w:tr>
      <w:tr>
        <w:trPr>
          <w:cantSplit/>
        </w:trPr>
        <w:tc>
          <w:tcPr>
            <w:tcW w:type="dxa" w:w="5011"/>
            <w:vAlign w:val="center"/>
            <w:shd w:fill="F3F6FA"/>
          </w:tcPr>
          <w:p>
            <w:pPr>
              <w:spacing w:after="20"/>
            </w:pPr>
            <w:r>
              <w:rPr>
                <w:sz w:val="16"/>
              </w:rPr>
              <w:t>AMBIGUOUS</w:t>
            </w:r>
          </w:p>
        </w:tc>
        <w:tc>
          <w:tcPr>
            <w:tcW w:type="dxa" w:w="5011"/>
            <w:vAlign w:val="center"/>
            <w:shd w:fill="F3F6FA"/>
          </w:tcPr>
          <w:p>
            <w:pPr>
              <w:spacing w:after="20"/>
            </w:pPr>
            <w:r>
              <w:rPr>
                <w:sz w:val="16"/>
              </w:rPr>
              <w:t>Ask one focused source-derived question about an unknown branch observation or resolvable applicability fact; withhold the dependent action.</w:t>
            </w:r>
          </w:p>
        </w:tc>
      </w:tr>
      <w:tr>
        <w:trPr>
          <w:cantSplit/>
        </w:trPr>
        <w:tc>
          <w:tcPr>
            <w:tcW w:type="dxa" w:w="5011"/>
            <w:vAlign w:val="center"/>
          </w:tcPr>
          <w:p>
            <w:pPr>
              <w:spacing w:after="20"/>
            </w:pPr>
            <w:r>
              <w:rPr>
                <w:sz w:val="16"/>
              </w:rPr>
              <w:t>UNSUPPORTED</w:t>
            </w:r>
          </w:p>
        </w:tc>
        <w:tc>
          <w:tcPr>
            <w:tcW w:type="dxa" w:w="5011"/>
            <w:vAlign w:val="center"/>
          </w:tcPr>
          <w:p>
            <w:pPr>
              <w:spacing w:after="20"/>
            </w:pPr>
            <w:r>
              <w:rPr>
                <w:sz w:val="16"/>
              </w:rPr>
              <w:t>Abstain with “could not verify an applicable procedure” and verified OEM contact option</w:t>
            </w:r>
          </w:p>
        </w:tc>
      </w:tr>
      <w:tr>
        <w:trPr>
          <w:cantSplit/>
        </w:trPr>
        <w:tc>
          <w:tcPr>
            <w:tcW w:type="dxa" w:w="5011"/>
            <w:vAlign w:val="center"/>
            <w:shd w:fill="F3F6FA"/>
          </w:tcPr>
          <w:p>
            <w:pPr>
              <w:spacing w:after="20"/>
            </w:pPr>
            <w:r>
              <w:rPr>
                <w:sz w:val="16"/>
              </w:rPr>
              <w:t>SAFETY_STOP</w:t>
            </w:r>
          </w:p>
        </w:tc>
        <w:tc>
          <w:tcPr>
            <w:tcW w:type="dxa" w:w="5011"/>
            <w:vAlign w:val="center"/>
            <w:shd w:fill="F3F6FA"/>
          </w:tcPr>
          <w:p>
            <w:pPr>
              <w:spacing w:after="20"/>
            </w:pPr>
            <w:r>
              <w:rPr>
                <w:sz w:val="16"/>
              </w:rPr>
              <w:t>Display the applicable source warning, stop unsafe action and refer to authorized service as supported</w:t>
            </w:r>
          </w:p>
        </w:tc>
      </w:tr>
      <w:tr>
        <w:trPr>
          <w:cantSplit/>
        </w:trPr>
        <w:tc>
          <w:tcPr>
            <w:tcW w:type="dxa" w:w="5011"/>
            <w:vAlign w:val="center"/>
          </w:tcPr>
          <w:p>
            <w:pPr>
              <w:spacing w:after="20"/>
            </w:pPr>
            <w:r>
              <w:rPr>
                <w:sz w:val="16"/>
              </w:rPr>
              <w:t>SYSTEM_ERROR</w:t>
            </w:r>
          </w:p>
        </w:tc>
        <w:tc>
          <w:tcPr>
            <w:tcW w:type="dxa" w:w="5011"/>
            <w:vAlign w:val="center"/>
          </w:tcPr>
          <w:p>
            <w:pPr>
              <w:spacing w:after="20"/>
            </w:pPr>
            <w:r>
              <w:rPr>
                <w:sz w:val="16"/>
              </w:rPr>
              <w:t>Explain temporary inability to verify; do not claim absence from the manual</w:t>
            </w:r>
          </w:p>
        </w:tc>
      </w:tr>
    </w:tbl>
    <w:p>
      <w:pPr>
        <w:spacing w:after="0"/>
      </w:pPr>
    </w:p>
    <w:p>
      <w:r>
        <w:t>Even a high-scoring semantic verifier can make mistakes; guarantee only that the application follows the fail-closed protocol, not that all semantic classifications are infallible. Output citations must map to immutable evidence object IDs, not model-created page numbers.</w:t>
      </w:r>
    </w:p>
    <w:p>
      <w:pPr>
        <w:pStyle w:val="Heading1"/>
      </w:pPr>
      <w:r>
        <w:rPr>
          <w:color w:val="000000"/>
        </w:rPr>
        <w:t>7  Multimodal path</w:t>
      </w:r>
    </w:p>
    <w:p>
      <w:pPr>
        <w:pStyle w:val="ListBullet"/>
      </w:pPr>
      <w:r>
        <w:t>Photo input: validate size/type, run vision extraction into observations {component_hint, visible_feature, uncertainty, needs_clarification}; no root-cause diagnosis from vision alone</w:t>
      </w:r>
    </w:p>
    <w:p>
      <w:pPr>
        <w:pStyle w:val="ListBullet"/>
      </w:pPr>
      <w:r>
        <w:t>Document diagrams: associate image with figure, heading, parent procedure and original page crop; require model verification against the image for image-dependent claims</w:t>
      </w:r>
    </w:p>
    <w:p>
      <w:pPr>
        <w:pStyle w:val="ListBullet"/>
      </w:pPr>
      <w:r>
        <w:t>Voice input P1: use speech-to-text (Sarvam or alternative), show/edit transcript, and route to identical RAG evidence checks; speech duration, STT latency and STT spend are separately reported</w:t>
      </w:r>
    </w:p>
    <w:p>
      <w:pPr>
        <w:pStyle w:val="ListBullet"/>
      </w:pPr>
      <w:r>
        <w:t>No permanent public-demo storage of image/audio by default; avoid putting raw media or personal text into traces</w:t>
      </w:r>
    </w:p>
    <w:p>
      <w:pPr>
        <w:pStyle w:val="Heading1"/>
      </w:pPr>
      <w:r>
        <w:rPr>
          <w:color w:val="000000"/>
        </w:rPr>
        <w:t>8  Service interfaces (provisional)</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Contract</w:t>
            </w:r>
          </w:p>
        </w:tc>
        <w:tc>
          <w:tcPr>
            <w:tcW w:type="dxa" w:w="3341"/>
            <w:shd w:fill="102238"/>
          </w:tcPr>
          <w:p>
            <w:pPr>
              <w:keepNext/>
            </w:pPr>
            <w:r>
              <w:rPr>
                <w:b/>
                <w:color w:val="FFFFFF"/>
                <w:sz w:val="16"/>
              </w:rPr>
              <w:t>Core parameters</w:t>
            </w:r>
          </w:p>
        </w:tc>
        <w:tc>
          <w:tcPr>
            <w:tcW w:type="dxa" w:w="3341"/>
            <w:shd w:fill="102238"/>
          </w:tcPr>
          <w:p>
            <w:pPr>
              <w:keepNext/>
            </w:pPr>
            <w:r>
              <w:rPr>
                <w:b/>
                <w:color w:val="FFFFFF"/>
                <w:sz w:val="16"/>
              </w:rPr>
              <w:t>Result</w:t>
            </w:r>
          </w:p>
        </w:tc>
      </w:tr>
      <w:tr>
        <w:trPr>
          <w:cantSplit/>
        </w:trPr>
        <w:tc>
          <w:tcPr>
            <w:tcW w:type="dxa" w:w="3341"/>
            <w:vAlign w:val="center"/>
          </w:tcPr>
          <w:p>
            <w:pPr>
              <w:spacing w:after="20"/>
            </w:pPr>
            <w:r>
              <w:rPr>
                <w:sz w:val="16"/>
              </w:rPr>
              <w:t>POST /sessions</w:t>
            </w:r>
          </w:p>
        </w:tc>
        <w:tc>
          <w:tcPr>
            <w:tcW w:type="dxa" w:w="3341"/>
            <w:vAlign w:val="center"/>
          </w:tcPr>
          <w:p>
            <w:pPr>
              <w:spacing w:after="20"/>
            </w:pPr>
            <w:r>
              <w:rPr>
                <w:sz w:val="16"/>
              </w:rPr>
              <w:t>manual_id, bike_variant, optional year</w:t>
            </w:r>
          </w:p>
        </w:tc>
        <w:tc>
          <w:tcPr>
            <w:tcW w:type="dxa" w:w="3341"/>
            <w:vAlign w:val="center"/>
          </w:tcPr>
          <w:p>
            <w:pPr>
              <w:spacing w:after="20"/>
            </w:pPr>
            <w:r>
              <w:rPr>
                <w:sz w:val="16"/>
              </w:rPr>
              <w:t>session_id, manual metadata, status</w:t>
            </w:r>
          </w:p>
        </w:tc>
      </w:tr>
      <w:tr>
        <w:trPr>
          <w:cantSplit/>
        </w:trPr>
        <w:tc>
          <w:tcPr>
            <w:tcW w:type="dxa" w:w="3341"/>
            <w:vAlign w:val="center"/>
            <w:shd w:fill="F3F6FA"/>
          </w:tcPr>
          <w:p>
            <w:r>
              <w:rPr>
                <w:sz w:val="16"/>
              </w:rPr>
              <w:t>POST /sessions/{id}/turns</w:t>
            </w:r>
          </w:p>
        </w:tc>
        <w:tc>
          <w:tcPr>
            <w:tcW w:type="dxa" w:w="3341"/>
            <w:vAlign w:val="center"/>
            <w:shd w:fill="F3F6FA"/>
          </w:tcPr>
          <w:p>
            <w:r>
              <w:rPr>
                <w:sz w:val="16"/>
              </w:rPr>
              <w:t>text; optional image; optional confirmed transcript; previous typed outcome</w:t>
            </w:r>
          </w:p>
        </w:tc>
        <w:tc>
          <w:tcPr>
            <w:tcW w:type="dxa" w:w="3341"/>
            <w:vAlign w:val="center"/>
            <w:shd w:fill="F3F6FA"/>
          </w:tcPr>
          <w:p>
            <w:r>
              <w:rPr>
                <w:sz w:val="16"/>
              </w:rPr>
              <w:t>SUPPORTED / AMBIGUOUS / UNSUPPORTED / SAFETY_STOP / SYSTEM_ERROR</w:t>
            </w:r>
          </w:p>
        </w:tc>
      </w:tr>
      <w:tr>
        <w:trPr>
          <w:cantSplit/>
        </w:trPr>
        <w:tc>
          <w:tcPr>
            <w:tcW w:type="dxa" w:w="3341"/>
            <w:vAlign w:val="center"/>
          </w:tcPr>
          <w:p>
            <w:pPr>
              <w:spacing w:after="20"/>
            </w:pPr>
            <w:r>
              <w:rPr>
                <w:sz w:val="16"/>
              </w:rPr>
              <w:t>POST /sessions/{id}/feedback</w:t>
            </w:r>
          </w:p>
        </w:tc>
        <w:tc>
          <w:tcPr>
            <w:tcW w:type="dxa" w:w="3341"/>
            <w:vAlign w:val="center"/>
          </w:tcPr>
          <w:p>
            <w:pPr>
              <w:spacing w:after="20"/>
            </w:pPr>
            <w:r>
              <w:t>observation or attempted-action reference, typed outcome, observed_details; no StepDefinition required for ordinary Q&amp;A</w:t>
            </w:r>
          </w:p>
        </w:tc>
        <w:tc>
          <w:tcPr>
            <w:tcW w:type="dxa" w:w="3341"/>
            <w:vAlign w:val="center"/>
          </w:tcPr>
          <w:p>
            <w:pPr>
              <w:spacing w:after="20"/>
            </w:pPr>
            <w:r>
              <w:t>updated typed history and session version</w:t>
            </w:r>
          </w:p>
        </w:tc>
      </w:tr>
      <w:tr>
        <w:trPr>
          <w:cantSplit/>
        </w:trPr>
        <w:tc>
          <w:tcPr>
            <w:tcW w:type="dxa" w:w="3341"/>
            <w:vAlign w:val="center"/>
            <w:shd w:fill="F3F6FA"/>
          </w:tcPr>
          <w:p>
            <w:pPr>
              <w:spacing w:after="20"/>
            </w:pPr>
            <w:r>
              <w:rPr>
                <w:sz w:val="16"/>
              </w:rPr>
              <w:t>GET /evidence/{id}</w:t>
            </w:r>
          </w:p>
        </w:tc>
        <w:tc>
          <w:tcPr>
            <w:tcW w:type="dxa" w:w="3341"/>
            <w:vAlign w:val="center"/>
            <w:shd w:fill="F3F6FA"/>
          </w:tcPr>
          <w:p>
            <w:pPr>
              <w:spacing w:after="20"/>
            </w:pPr>
            <w:r>
              <w:rPr>
                <w:sz w:val="16"/>
              </w:rPr>
              <w:t>source evidence ID</w:t>
            </w:r>
          </w:p>
        </w:tc>
        <w:tc>
          <w:tcPr>
            <w:tcW w:type="dxa" w:w="3341"/>
            <w:vAlign w:val="center"/>
            <w:shd w:fill="F3F6FA"/>
          </w:tcPr>
          <w:p>
            <w:r>
              <w:t>Approved paraphrase and immutable citation metadata only; no end-user PDF, excerpt or crop under current display policy</w:t>
            </w:r>
          </w:p>
        </w:tc>
      </w:tr>
      <w:tr>
        <w:trPr>
          <w:cantSplit/>
        </w:trPr>
        <w:tc>
          <w:tcPr>
            <w:tcW w:type="dxa" w:w="3341"/>
            <w:vAlign w:val="center"/>
          </w:tcPr>
          <w:p>
            <w:pPr>
              <w:spacing w:after="20"/>
            </w:pPr>
            <w:r>
              <w:rPr>
                <w:sz w:val="16"/>
              </w:rPr>
              <w:t>GET /health</w:t>
            </w:r>
          </w:p>
        </w:tc>
        <w:tc>
          <w:tcPr>
            <w:tcW w:type="dxa" w:w="3341"/>
            <w:vAlign w:val="center"/>
          </w:tcPr>
          <w:p>
            <w:pPr>
              <w:spacing w:after="20"/>
            </w:pPr>
            <w:r>
              <w:rPr>
                <w:sz w:val="16"/>
              </w:rPr>
              <w:t>dependency checks</w:t>
            </w:r>
          </w:p>
        </w:tc>
        <w:tc>
          <w:tcPr>
            <w:tcW w:type="dxa" w:w="3341"/>
            <w:vAlign w:val="center"/>
          </w:tcPr>
          <w:p>
            <w:pPr>
              <w:spacing w:after="20"/>
            </w:pPr>
            <w:r>
              <w:rPr>
                <w:sz w:val="16"/>
              </w:rPr>
              <w:t>app/index/model connectivity status</w:t>
            </w:r>
          </w:p>
        </w:tc>
      </w:tr>
    </w:tbl>
    <w:p>
      <w:pPr>
        <w:spacing w:after="0"/>
      </w:pPr>
    </w:p>
    <w:p>
      <w:r>
        <w:t>For a small Streamlit deployment these may remain internal Python service boundaries rather than external REST endpoints. Keep request/response contracts stable so a future FastAPI backend can be introduced.</w:t>
      </w:r>
    </w:p>
    <w:p>
      <w:pPr>
        <w:pStyle w:val="Heading1"/>
      </w:pPr>
      <w:r>
        <w:rPr>
          <w:color w:val="000000"/>
        </w:rPr>
        <w:t>9  Latency, caching and cost engineering</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Technique</w:t>
            </w:r>
          </w:p>
        </w:tc>
        <w:tc>
          <w:tcPr>
            <w:tcW w:type="dxa" w:w="3341"/>
            <w:shd w:fill="102238"/>
          </w:tcPr>
          <w:p>
            <w:pPr>
              <w:keepNext/>
            </w:pPr>
            <w:r>
              <w:rPr>
                <w:b/>
                <w:color w:val="FFFFFF"/>
                <w:sz w:val="16"/>
              </w:rPr>
              <w:t>Benefit</w:t>
            </w:r>
          </w:p>
        </w:tc>
        <w:tc>
          <w:tcPr>
            <w:tcW w:type="dxa" w:w="3341"/>
            <w:shd w:fill="102238"/>
          </w:tcPr>
          <w:p>
            <w:pPr>
              <w:keepNext/>
            </w:pPr>
            <w:r>
              <w:rPr>
                <w:b/>
                <w:color w:val="FFFFFF"/>
                <w:sz w:val="16"/>
              </w:rPr>
              <w:t>Guardrail</w:t>
            </w:r>
          </w:p>
        </w:tc>
      </w:tr>
      <w:tr>
        <w:trPr>
          <w:cantSplit/>
        </w:trPr>
        <w:tc>
          <w:tcPr>
            <w:tcW w:type="dxa" w:w="3341"/>
            <w:vAlign w:val="center"/>
          </w:tcPr>
          <w:p>
            <w:pPr>
              <w:spacing w:after="20"/>
            </w:pPr>
            <w:r>
              <w:rPr>
                <w:sz w:val="16"/>
              </w:rPr>
              <w:t>Prebuilt indices + graph</w:t>
            </w:r>
          </w:p>
        </w:tc>
        <w:tc>
          <w:tcPr>
            <w:tcW w:type="dxa" w:w="3341"/>
            <w:vAlign w:val="center"/>
          </w:tcPr>
          <w:p>
            <w:pPr>
              <w:spacing w:after="20"/>
            </w:pPr>
            <w:r>
              <w:rPr>
                <w:sz w:val="16"/>
              </w:rPr>
              <w:t>Avoid online parsing and embedding of manual</w:t>
            </w:r>
          </w:p>
        </w:tc>
        <w:tc>
          <w:tcPr>
            <w:tcW w:type="dxa" w:w="3341"/>
            <w:vAlign w:val="center"/>
          </w:tcPr>
          <w:p>
            <w:pPr>
              <w:spacing w:after="20"/>
            </w:pPr>
            <w:r>
              <w:rPr>
                <w:sz w:val="16"/>
              </w:rPr>
              <w:t>Index keyed by immutable document checksum</w:t>
            </w:r>
          </w:p>
        </w:tc>
      </w:tr>
      <w:tr>
        <w:trPr>
          <w:cantSplit/>
        </w:trPr>
        <w:tc>
          <w:tcPr>
            <w:tcW w:type="dxa" w:w="3341"/>
            <w:vAlign w:val="center"/>
            <w:shd w:fill="F3F6FA"/>
          </w:tcPr>
          <w:p>
            <w:pPr>
              <w:spacing w:after="20"/>
            </w:pPr>
            <w:r>
              <w:rPr>
                <w:sz w:val="16"/>
              </w:rPr>
              <w:t>Selected-manual session cache</w:t>
            </w:r>
          </w:p>
        </w:tc>
        <w:tc>
          <w:tcPr>
            <w:tcW w:type="dxa" w:w="3341"/>
            <w:vAlign w:val="center"/>
            <w:shd w:fill="F3F6FA"/>
          </w:tcPr>
          <w:p>
            <w:pPr>
              <w:spacing w:after="20"/>
            </w:pPr>
            <w:r>
              <w:rPr>
                <w:sz w:val="16"/>
              </w:rPr>
              <w:t>Avoid repeated manual selection and variant lookups</w:t>
            </w:r>
          </w:p>
        </w:tc>
        <w:tc>
          <w:tcPr>
            <w:tcW w:type="dxa" w:w="3341"/>
            <w:vAlign w:val="center"/>
            <w:shd w:fill="F3F6FA"/>
          </w:tcPr>
          <w:p>
            <w:pPr>
              <w:spacing w:after="20"/>
            </w:pPr>
            <w:r>
              <w:rPr>
                <w:sz w:val="16"/>
              </w:rPr>
              <w:t>Invalidate on variant change</w:t>
            </w:r>
          </w:p>
        </w:tc>
      </w:tr>
      <w:tr>
        <w:trPr>
          <w:cantSplit/>
        </w:trPr>
        <w:tc>
          <w:tcPr>
            <w:tcW w:type="dxa" w:w="3341"/>
            <w:vAlign w:val="center"/>
          </w:tcPr>
          <w:p>
            <w:r>
              <w:t>Verified-response reuse future work</w:t>
            </w:r>
          </w:p>
        </w:tc>
        <w:tc>
          <w:tcPr>
            <w:tcW w:type="dxa" w:w="3341"/>
            <w:vAlign w:val="center"/>
          </w:tcPr>
          <w:p>
            <w:r>
              <w:t>Disabled in initial integration</w:t>
            </w:r>
          </w:p>
        </w:tc>
        <w:tc>
          <w:tcPr>
            <w:tcW w:type="dxa" w:w="3341"/>
            <w:vAlign w:val="center"/>
          </w:tcPr>
          <w:p>
            <w:r>
              <w:t>No old Arm A/exact-response bypass; future exact bound reuse requires separate evaluation</w:t>
            </w:r>
          </w:p>
        </w:tc>
      </w:tr>
      <w:tr>
        <w:trPr>
          <w:cantSplit/>
        </w:trPr>
        <w:tc>
          <w:tcPr>
            <w:tcW w:type="dxa" w:w="3341"/>
            <w:vAlign w:val="center"/>
            <w:shd w:fill="F3F6FA"/>
          </w:tcPr>
          <w:p>
            <w:pPr>
              <w:spacing w:after="20"/>
            </w:pPr>
            <w:r>
              <w:rPr>
                <w:sz w:val="16"/>
              </w:rPr>
              <w:t>Small evidence bundle</w:t>
            </w:r>
          </w:p>
        </w:tc>
        <w:tc>
          <w:tcPr>
            <w:tcW w:type="dxa" w:w="3341"/>
            <w:vAlign w:val="center"/>
            <w:shd w:fill="F3F6FA"/>
          </w:tcPr>
          <w:p>
            <w:pPr>
              <w:spacing w:after="20"/>
            </w:pPr>
            <w:r>
              <w:rPr>
                <w:sz w:val="16"/>
              </w:rPr>
              <w:t>Fewer LLM input tokens</w:t>
            </w:r>
          </w:p>
        </w:tc>
        <w:tc>
          <w:tcPr>
            <w:tcW w:type="dxa" w:w="3341"/>
            <w:vAlign w:val="center"/>
            <w:shd w:fill="F3F6FA"/>
          </w:tcPr>
          <w:p>
            <w:pPr>
              <w:spacing w:after="20"/>
            </w:pPr>
            <w:r>
              <w:rPr>
                <w:sz w:val="16"/>
              </w:rPr>
              <w:t>Mandatory warnings/conditions are never dropped</w:t>
            </w:r>
          </w:p>
        </w:tc>
      </w:tr>
      <w:tr>
        <w:trPr>
          <w:cantSplit/>
        </w:trPr>
        <w:tc>
          <w:tcPr>
            <w:tcW w:type="dxa" w:w="3341"/>
            <w:vAlign w:val="center"/>
          </w:tcPr>
          <w:p>
            <w:pPr>
              <w:spacing w:after="20"/>
            </w:pPr>
            <w:r>
              <w:rPr>
                <w:sz w:val="16"/>
              </w:rPr>
              <w:t>Conditional reranker</w:t>
            </w:r>
          </w:p>
        </w:tc>
        <w:tc>
          <w:tcPr>
            <w:tcW w:type="dxa" w:w="3341"/>
            <w:vAlign w:val="center"/>
          </w:tcPr>
          <w:p>
            <w:r>
              <w:rPr>
                <w:sz w:val="16"/>
              </w:rPr>
              <w:t>One attempt for uncertain candidate ordering after source and coverage checks</w:t>
            </w:r>
          </w:p>
        </w:tc>
        <w:tc>
          <w:tcPr>
            <w:tcW w:type="dxa" w:w="3341"/>
            <w:vAlign w:val="center"/>
          </w:tcPr>
          <w:p>
            <w:r>
              <w:rPr>
                <w:sz w:val="16"/>
              </w:rPr>
              <w:t>Versioned provisional thresholds; reviewed calibration; bounded pool; mandatory evidence retained</w:t>
            </w:r>
          </w:p>
        </w:tc>
      </w:tr>
      <w:tr>
        <w:trPr>
          <w:cantSplit/>
        </w:trPr>
        <w:tc>
          <w:tcPr>
            <w:tcW w:type="dxa" w:w="3341"/>
            <w:vAlign w:val="center"/>
            <w:shd w:fill="F3F6FA"/>
          </w:tcPr>
          <w:p>
            <w:pPr>
              <w:spacing w:after="20"/>
            </w:pPr>
            <w:r>
              <w:rPr>
                <w:sz w:val="16"/>
              </w:rPr>
              <w:t>Bounded graph expansion</w:t>
            </w:r>
          </w:p>
        </w:tc>
        <w:tc>
          <w:tcPr>
            <w:tcW w:type="dxa" w:w="3341"/>
            <w:vAlign w:val="center"/>
            <w:shd w:fill="F3F6FA"/>
          </w:tcPr>
          <w:p>
            <w:pPr>
              <w:spacing w:after="20"/>
            </w:pPr>
            <w:r>
              <w:rPr>
                <w:sz w:val="16"/>
              </w:rPr>
              <w:t>Avoid token and network explosion</w:t>
            </w:r>
          </w:p>
        </w:tc>
        <w:tc>
          <w:tcPr>
            <w:tcW w:type="dxa" w:w="3341"/>
            <w:vAlign w:val="center"/>
            <w:shd w:fill="F3F6FA"/>
          </w:tcPr>
          <w:p>
            <w:pPr>
              <w:spacing w:after="20"/>
            </w:pPr>
            <w:r>
              <w:rPr>
                <w:sz w:val="16"/>
              </w:rPr>
              <w:t>Whitelist edge types and cap hops</w:t>
            </w:r>
          </w:p>
        </w:tc>
      </w:tr>
      <w:tr>
        <w:trPr>
          <w:cantSplit/>
        </w:trPr>
        <w:tc>
          <w:tcPr>
            <w:tcW w:type="dxa" w:w="3341"/>
            <w:vAlign w:val="center"/>
          </w:tcPr>
          <w:p>
            <w:pPr>
              <w:spacing w:after="20"/>
            </w:pPr>
            <w:r>
              <w:rPr>
                <w:sz w:val="16"/>
              </w:rPr>
              <w:t>Optional streaming STT</w:t>
            </w:r>
          </w:p>
        </w:tc>
        <w:tc>
          <w:tcPr>
            <w:tcW w:type="dxa" w:w="3341"/>
            <w:vAlign w:val="center"/>
          </w:tcPr>
          <w:p>
            <w:pPr>
              <w:spacing w:after="20"/>
            </w:pPr>
            <w:r>
              <w:rPr>
                <w:sz w:val="16"/>
              </w:rPr>
              <w:t>Better perceived voice responsiveness</w:t>
            </w:r>
          </w:p>
        </w:tc>
        <w:tc>
          <w:tcPr>
            <w:tcW w:type="dxa" w:w="3341"/>
            <w:vAlign w:val="center"/>
          </w:tcPr>
          <w:p>
            <w:pPr>
              <w:spacing w:after="20"/>
            </w:pPr>
            <w:r>
              <w:rPr>
                <w:sz w:val="16"/>
              </w:rPr>
              <w:t>Do not emit answer from unstable partial transcript</w:t>
            </w:r>
          </w:p>
        </w:tc>
      </w:tr>
    </w:tbl>
    <w:p>
      <w:pPr>
        <w:spacing w:after="0"/>
      </w:pPr>
    </w:p>
    <w:p>
      <w:r>
        <w:t>Measure time to first progress separately from time to first verified answer token. Record retrieval, assembly, reranking, draft completion, verification, correction/re-verification, final validation/save, first verified token and full completion, with calls, tokens, errors and cost. Private draft tokens and progress events do not count as an answer. Report real warm/cold measurements; historical text p95 under five seconds and photo under ten seconds are unproven targets for this two-call pipeline.</w:t>
      </w:r>
    </w:p>
    <w:p>
      <w:pPr>
        <w:pStyle w:val="Heading1"/>
      </w:pPr>
      <w:r>
        <w:rPr>
          <w:color w:val="000000"/>
        </w:rPr>
        <w:t>10  Observability design</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Event / span</w:t>
            </w:r>
          </w:p>
        </w:tc>
        <w:tc>
          <w:tcPr>
            <w:tcW w:type="dxa" w:w="5011"/>
            <w:shd w:fill="102238"/>
          </w:tcPr>
          <w:p>
            <w:pPr>
              <w:keepNext/>
            </w:pPr>
            <w:r>
              <w:rPr>
                <w:b/>
                <w:color w:val="FFFFFF"/>
                <w:sz w:val="16"/>
              </w:rPr>
              <w:t>Fields to capture</w:t>
            </w:r>
          </w:p>
        </w:tc>
      </w:tr>
      <w:tr>
        <w:trPr>
          <w:cantSplit/>
        </w:trPr>
        <w:tc>
          <w:tcPr>
            <w:tcW w:type="dxa" w:w="5011"/>
            <w:vAlign w:val="center"/>
          </w:tcPr>
          <w:p>
            <w:pPr>
              <w:spacing w:after="20"/>
            </w:pPr>
            <w:r>
              <w:rPr>
                <w:sz w:val="16"/>
              </w:rPr>
              <w:t>turn_received</w:t>
            </w:r>
          </w:p>
        </w:tc>
        <w:tc>
          <w:tcPr>
            <w:tcW w:type="dxa" w:w="5011"/>
            <w:vAlign w:val="center"/>
          </w:tcPr>
          <w:p>
            <w:pPr>
              <w:spacing w:after="20"/>
            </w:pPr>
            <w:r>
              <w:rPr>
                <w:sz w:val="16"/>
              </w:rPr>
              <w:t>trace_id, session_hash, modality, manual_checksum, input_size_bucket</w:t>
            </w:r>
          </w:p>
        </w:tc>
      </w:tr>
      <w:tr>
        <w:trPr>
          <w:cantSplit/>
        </w:trPr>
        <w:tc>
          <w:tcPr>
            <w:tcW w:type="dxa" w:w="5011"/>
            <w:vAlign w:val="center"/>
            <w:shd w:fill="F3F6FA"/>
          </w:tcPr>
          <w:p>
            <w:pPr>
              <w:spacing w:after="20"/>
            </w:pPr>
            <w:r>
              <w:rPr>
                <w:sz w:val="16"/>
              </w:rPr>
              <w:t>visual_interpretation</w:t>
            </w:r>
          </w:p>
        </w:tc>
        <w:tc>
          <w:tcPr>
            <w:tcW w:type="dxa" w:w="5011"/>
            <w:vAlign w:val="center"/>
            <w:shd w:fill="F3F6FA"/>
          </w:tcPr>
          <w:p>
            <w:pPr>
              <w:spacing w:after="20"/>
            </w:pPr>
            <w:r>
              <w:rPr>
                <w:sz w:val="16"/>
              </w:rPr>
              <w:t>visible_obs_count, uncertainty, duration_ms, model_version</w:t>
            </w:r>
          </w:p>
        </w:tc>
      </w:tr>
      <w:tr>
        <w:trPr>
          <w:cantSplit/>
        </w:trPr>
        <w:tc>
          <w:tcPr>
            <w:tcW w:type="dxa" w:w="5011"/>
            <w:vAlign w:val="center"/>
          </w:tcPr>
          <w:p>
            <w:pPr>
              <w:spacing w:after="20"/>
            </w:pPr>
            <w:r>
              <w:rPr>
                <w:sz w:val="16"/>
              </w:rPr>
              <w:t>retrieval_dense / retrieval_sparse</w:t>
            </w:r>
          </w:p>
        </w:tc>
        <w:tc>
          <w:tcPr>
            <w:tcW w:type="dxa" w:w="5011"/>
            <w:vAlign w:val="center"/>
          </w:tcPr>
          <w:p>
            <w:pPr>
              <w:spacing w:after="20"/>
            </w:pPr>
            <w:r>
              <w:rPr>
                <w:sz w:val="16"/>
              </w:rPr>
              <w:t>top_candidate_ids, ranks/scores, duration_ms, index_version</w:t>
            </w:r>
          </w:p>
        </w:tc>
      </w:tr>
      <w:tr>
        <w:trPr>
          <w:cantSplit/>
        </w:trPr>
        <w:tc>
          <w:tcPr>
            <w:tcW w:type="dxa" w:w="5011"/>
            <w:vAlign w:val="center"/>
            <w:shd w:fill="F3F6FA"/>
          </w:tcPr>
          <w:p>
            <w:pPr>
              <w:spacing w:after="20"/>
            </w:pPr>
            <w:r>
              <w:rPr>
                <w:sz w:val="16"/>
              </w:rPr>
              <w:t>rerank / graph_expand</w:t>
            </w:r>
          </w:p>
        </w:tc>
        <w:tc>
          <w:tcPr>
            <w:tcW w:type="dxa" w:w="5011"/>
            <w:vAlign w:val="center"/>
            <w:shd w:fill="F3F6FA"/>
          </w:tcPr>
          <w:p>
            <w:r>
              <w:rPr>
                <w:sz w:val="16"/>
              </w:rPr>
              <w:t>policy_version, calibration_status, mode, trigger_reasons, ranked_ids, pair_count, skip_reason, verified_edges, added_dependencies, attempt_counts, duration_ms</w:t>
            </w:r>
          </w:p>
        </w:tc>
      </w:tr>
      <w:tr>
        <w:trPr>
          <w:cantSplit/>
        </w:trPr>
        <w:tc>
          <w:tcPr>
            <w:tcW w:type="dxa" w:w="5011"/>
            <w:vAlign w:val="center"/>
          </w:tcPr>
          <w:p>
            <w:pPr>
              <w:spacing w:after="20"/>
            </w:pPr>
            <w:r>
              <w:rPr>
                <w:sz w:val="16"/>
              </w:rPr>
              <w:t>sufficiency_gate</w:t>
            </w:r>
          </w:p>
        </w:tc>
        <w:tc>
          <w:tcPr>
            <w:tcW w:type="dxa" w:w="5011"/>
            <w:vAlign w:val="center"/>
          </w:tcPr>
          <w:p>
            <w:pPr>
              <w:spacing w:after="20"/>
            </w:pPr>
            <w:r>
              <w:rPr>
                <w:sz w:val="16"/>
              </w:rPr>
              <w:t>decision, failed_gate_codes, missing_evidence_ids, duration_ms</w:t>
            </w:r>
          </w:p>
        </w:tc>
      </w:tr>
      <w:tr>
        <w:trPr>
          <w:cantSplit/>
        </w:trPr>
        <w:tc>
          <w:tcPr>
            <w:tcW w:type="dxa" w:w="5011"/>
            <w:vAlign w:val="center"/>
            <w:shd w:fill="F3F6FA"/>
          </w:tcPr>
          <w:p>
            <w:pPr>
              <w:spacing w:after="20"/>
            </w:pPr>
            <w:r>
              <w:rPr>
                <w:sz w:val="16"/>
              </w:rPr>
              <w:t>session_transition</w:t>
            </w:r>
          </w:p>
        </w:tc>
        <w:tc>
          <w:tcPr>
            <w:tcW w:type="dxa" w:w="5011"/>
            <w:vAlign w:val="center"/>
            <w:shd w:fill="F3F6FA"/>
          </w:tcPr>
          <w:p>
            <w:pPr>
              <w:spacing w:after="20"/>
            </w:pPr>
            <w:r>
              <w:rPr>
                <w:sz w:val="16"/>
              </w:rPr>
              <w:t>step_id, previous_outcome, current_outcome, excluded_branches, state_version</w:t>
            </w:r>
          </w:p>
        </w:tc>
      </w:tr>
      <w:tr>
        <w:trPr>
          <w:cantSplit/>
        </w:trPr>
        <w:tc>
          <w:tcPr>
            <w:tcW w:type="dxa" w:w="5011"/>
            <w:vAlign w:val="center"/>
          </w:tcPr>
          <w:p>
            <w:pPr>
              <w:spacing w:after="20"/>
            </w:pPr>
            <w:r>
              <w:rPr>
                <w:sz w:val="16"/>
              </w:rPr>
              <w:t>generation / citation_check</w:t>
            </w:r>
          </w:p>
        </w:tc>
        <w:tc>
          <w:tcPr>
            <w:tcW w:type="dxa" w:w="5011"/>
            <w:vAlign w:val="center"/>
          </w:tcPr>
          <w:p>
            <w:pPr>
              <w:spacing w:after="20"/>
            </w:pPr>
            <w:r>
              <w:rPr>
                <w:sz w:val="16"/>
              </w:rPr>
              <w:t>input/output tokens, model_version, claim_support_results, duration_ms</w:t>
            </w:r>
          </w:p>
        </w:tc>
      </w:tr>
      <w:tr>
        <w:trPr>
          <w:cantSplit/>
        </w:trPr>
        <w:tc>
          <w:tcPr>
            <w:tcW w:type="dxa" w:w="5011"/>
            <w:vAlign w:val="center"/>
            <w:shd w:fill="F3F6FA"/>
          </w:tcPr>
          <w:p>
            <w:pPr>
              <w:spacing w:after="20"/>
            </w:pPr>
            <w:r>
              <w:rPr>
                <w:sz w:val="16"/>
              </w:rPr>
              <w:t>turn_completed</w:t>
            </w:r>
          </w:p>
        </w:tc>
        <w:tc>
          <w:tcPr>
            <w:tcW w:type="dxa" w:w="5011"/>
            <w:vAlign w:val="center"/>
            <w:shd w:fill="F3F6FA"/>
          </w:tcPr>
          <w:p>
            <w:pPr>
              <w:spacing w:after="20"/>
            </w:pPr>
            <w:r>
              <w:rPr>
                <w:sz w:val="16"/>
              </w:rPr>
              <w:t>final_status, end_to_end_ms, estimated_cost, feedback, error_class</w:t>
            </w:r>
          </w:p>
        </w:tc>
      </w:tr>
      <w:tr>
        <w:trPr>
          <w:cantSplit/>
        </w:trPr>
        <w:tc>
          <w:tcPr>
            <w:tcW w:type="dxa" w:w="5011"/>
            <w:vAlign w:val="center"/>
          </w:tcPr>
          <w:p>
            <w:pPr>
              <w:spacing w:after="20"/>
            </w:pPr>
            <w:r>
              <w:rPr>
                <w:sz w:val="16"/>
              </w:rPr>
              <w:t>step_eligibility</w:t>
            </w:r>
          </w:p>
        </w:tc>
        <w:tc>
          <w:tcPr>
            <w:tcW w:type="dxa" w:w="5011"/>
            <w:vAlign w:val="center"/>
          </w:tcPr>
          <w:p>
            <w:pPr>
              <w:spacing w:after="20"/>
            </w:pPr>
            <w:r>
              <w:rPr>
                <w:sz w:val="16"/>
              </w:rPr>
              <w:t>candidate_step_ids, condition_results, reason_codes, missing_evidence_ids, rule_version, dependency_manifest_version, session_version, duration_ms</w:t>
            </w:r>
          </w:p>
        </w:tc>
      </w:tr>
    </w:tbl>
    <w:p>
      <w:pPr>
        <w:spacing w:after="0"/>
      </w:pPr>
    </w:p>
    <w:p>
      <w:pPr>
        <w:pStyle w:val="ListBullet"/>
      </w:pPr>
      <w:r>
        <w:t>Use OpenTelemetry-compatible spans and a tracing/evaluation backend such as Langfuse. Scrub raw user media and redact accidental personal information.</w:t>
      </w:r>
    </w:p>
    <w:p>
      <w:pPr>
        <w:pStyle w:val="ListBullet"/>
      </w:pPr>
      <w:r>
        <w:t>Report weekly/experiment aggregates: unsupported-claim incidence, evidence recall, proper abstention, answerable coverage, repeated-step rate, p95 latency, per-stage failures and cost per correctly handled case</w:t>
      </w:r>
    </w:p>
    <w:p>
      <w:pPr>
        <w:pStyle w:val="Heading1"/>
      </w:pPr>
      <w:r>
        <w:rPr>
          <w:color w:val="000000"/>
        </w:rPr>
        <w:t>11  Deployment, security and reliability</w:t>
      </w:r>
    </w:p>
    <w:p>
      <w:pPr>
        <w:pStyle w:val="ListBullet"/>
      </w:pPr>
      <w:r>
        <w:t>Host a Streamlit UI at a shareable URL; keep API keys server-side in secrets management; pin dependencies and models</w:t>
      </w:r>
    </w:p>
    <w:p>
      <w:pPr>
        <w:pStyle w:val="ListBullet"/>
      </w:pPr>
      <w:r>
        <w:t>Package a small prebuilt index snapshot and verified document graph or use managed Qdrant if local resource limits are unacceptable</w:t>
      </w:r>
    </w:p>
    <w:p>
      <w:pPr>
        <w:pStyle w:val="ListBullet"/>
      </w:pPr>
      <w:r>
        <w:t>Apply file size/type limits, per-user rate limits and a per-day spending cap; sanitize PDF text as data, not executable instructions</w:t>
      </w:r>
    </w:p>
    <w:p>
      <w:pPr>
        <w:pStyle w:val="ListBullet"/>
      </w:pPr>
      <w:r>
        <w:t>Do not include proprietary manuals in an unrestricted public repository without verifying usage rights; use private asset storage or a permitted manual</w:t>
      </w:r>
    </w:p>
    <w:p>
      <w:pPr>
        <w:pStyle w:val="ListBullet"/>
      </w:pPr>
      <w:r>
        <w:t>Graceful errors use SUPPORTED, AMBIGUOUS, UNSUPPORTED, SAFETY_STOP and SYSTEM_ERROR under section 6 1. Review gaps block advice; rider-resolvable applicability facts clarify; confirmed mismatches block; operational failures remain SYSTEM_ERROR.</w:t>
      </w:r>
    </w:p>
    <w:p>
      <w:pPr>
        <w:pStyle w:val="Heading1"/>
      </w:pPr>
      <w:r>
        <w:rPr>
          <w:color w:val="000000"/>
        </w:rPr>
        <w:t>12  Evaluation, ablations and versioning</w:t>
      </w:r>
    </w:p>
    <w:p>
      <w:r>
        <w:t>Evaluate at least 25 gold records for an MVP; expand to 50–100 with the supplied manual. Include multi-turn transcripts and photo inputs, required evidence sets, forbidden claims and outcome expectations. Always annotate independently from the tested model where feasible.</w:t>
      </w:r>
    </w:p>
    <w:p>
      <w:pPr>
        <w:pStyle w:val="Heading2"/>
      </w:pPr>
      <w:r>
        <w:rPr>
          <w:color w:val="000000"/>
        </w:rPr>
        <w:t>12 1 Open question verification and history regression cases</w:t>
      </w:r>
    </w:p>
    <w:p>
      <w:pPr/>
      <w:r>
        <w:t>Add unseen supported questions without catalogue entries; complete, partial and unsupported answers; relevant passages that fail to answer; valid citations with unsupported claims; missing conditions, warnings, units or table context; unresolved follow-ups; injection; verifier rejection, malformed output and outages; zero answer leakage before acceptance; and equality of accepted, streamed and recovered text.</w:t>
      </w:r>
    </w:p>
    <w:p>
      <w:pPr>
        <w:pStyle w:val="ListBullet"/>
      </w:pPr>
      <w:r>
        <w:t>TRUE, FALSE and UNKNOWN facts select, exclude or clarify the documented branch correctly; unknown facts and unresolved attempts never become normal observations.</w:t>
      </w:r>
    </w:p>
    <w:p>
      <w:pPr>
        <w:pStyle w:val="ListBullet"/>
      </w:pPr>
      <w:r>
        <w:t>Application checks validate immutable source/version, selected-manual applicability, schemas, citation membership and server-derived pages, session ownership, limits, quotas and delivery bindings. These controls are not an answer allowlist or a substitute for semantic verification. Legacy rule/cache restrictions do not gate open Q&amp;A.</w:t>
      </w:r>
    </w:p>
    <w:p>
      <w:pPr>
        <w:pStyle w:val="ListBullet"/>
      </w:pPr>
      <w:r>
        <w:t>A relevant passage with missing required prerequisite, warning, table header, units or referenced context cannot support the affected technical claim. The draft must acknowledge partial support or limitations; the verifier checks omissions and prevents a partial answer being presented as complete.</w:t>
      </w:r>
    </w:p>
    <w:p>
      <w:pPr>
        <w:pStyle w:val="ListBullet"/>
      </w:pPr>
      <w:r>
        <w:t>Distinguish a resolvable observation from a source gap, a known safety stop and an operational failure. Exhausted paths escalate; relevance scores cannot invent a step or repeat a completed action without the documented exception.</w:t>
      </w:r>
    </w:p>
    <w:p>
      <w:pPr/>
      <w:r>
        <w:t>Report question coverage/completeness and per-claim support separately, plus verifier false acceptance/refusal and repeat-history defects. Independently review actual outputs against original manual pages; synthetic tests, existing citation IDs and old runtime approvals do not establish semantic correctness.</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Experiment</w:t>
            </w:r>
          </w:p>
        </w:tc>
        <w:tc>
          <w:tcPr>
            <w:tcW w:type="dxa" w:w="3341"/>
            <w:shd w:fill="102238"/>
          </w:tcPr>
          <w:p>
            <w:pPr>
              <w:keepNext/>
            </w:pPr>
            <w:r>
              <w:rPr>
                <w:b/>
                <w:color w:val="FFFFFF"/>
                <w:sz w:val="16"/>
              </w:rPr>
              <w:t>Independent variable</w:t>
            </w:r>
          </w:p>
        </w:tc>
        <w:tc>
          <w:tcPr>
            <w:tcW w:type="dxa" w:w="3341"/>
            <w:shd w:fill="102238"/>
          </w:tcPr>
          <w:p>
            <w:pPr>
              <w:keepNext/>
            </w:pPr>
            <w:r>
              <w:rPr>
                <w:b/>
                <w:color w:val="FFFFFF"/>
                <w:sz w:val="16"/>
              </w:rPr>
              <w:t>Measures</w:t>
            </w:r>
          </w:p>
        </w:tc>
      </w:tr>
      <w:tr>
        <w:trPr>
          <w:cantSplit/>
        </w:trPr>
        <w:tc>
          <w:tcPr>
            <w:tcW w:type="dxa" w:w="3341"/>
            <w:vAlign w:val="center"/>
          </w:tcPr>
          <w:p>
            <w:pPr>
              <w:spacing w:after="20"/>
            </w:pPr>
            <w:r>
              <w:rPr>
                <w:sz w:val="16"/>
              </w:rPr>
              <w:t>E0</w:t>
            </w:r>
          </w:p>
        </w:tc>
        <w:tc>
          <w:tcPr>
            <w:tcW w:type="dxa" w:w="3341"/>
            <w:vAlign w:val="center"/>
          </w:tcPr>
          <w:p>
            <w:pPr>
              <w:spacing w:after="20"/>
            </w:pPr>
            <w:r>
              <w:rPr>
                <w:sz w:val="16"/>
              </w:rPr>
              <w:t>Dense-only vs dense+BM25</w:t>
            </w:r>
          </w:p>
        </w:tc>
        <w:tc>
          <w:tcPr>
            <w:tcW w:type="dxa" w:w="3341"/>
            <w:vAlign w:val="center"/>
          </w:tcPr>
          <w:p>
            <w:pPr>
              <w:spacing w:after="20"/>
            </w:pPr>
            <w:r>
              <w:rPr>
                <w:sz w:val="16"/>
              </w:rPr>
              <w:t>Recall@5, complete evidence recall, latency</w:t>
            </w:r>
          </w:p>
        </w:tc>
      </w:tr>
      <w:tr>
        <w:trPr>
          <w:cantSplit/>
        </w:trPr>
        <w:tc>
          <w:tcPr>
            <w:tcW w:type="dxa" w:w="3341"/>
            <w:vAlign w:val="center"/>
            <w:shd w:fill="F3F6FA"/>
          </w:tcPr>
          <w:p>
            <w:pPr>
              <w:spacing w:after="20"/>
            </w:pPr>
            <w:r>
              <w:rPr>
                <w:sz w:val="16"/>
              </w:rPr>
              <w:t>E1</w:t>
            </w:r>
          </w:p>
        </w:tc>
        <w:tc>
          <w:tcPr>
            <w:tcW w:type="dxa" w:w="3341"/>
            <w:vAlign w:val="center"/>
            <w:shd w:fill="F3F6FA"/>
          </w:tcPr>
          <w:p>
            <w:pPr>
              <w:spacing w:after="20"/>
            </w:pPr>
            <w:r>
              <w:rPr>
                <w:sz w:val="16"/>
              </w:rPr>
              <w:t>Flat chunks vs typed hierarchical/parent-child</w:t>
            </w:r>
          </w:p>
        </w:tc>
        <w:tc>
          <w:tcPr>
            <w:tcW w:type="dxa" w:w="3341"/>
            <w:vAlign w:val="center"/>
            <w:shd w:fill="F3F6FA"/>
          </w:tcPr>
          <w:p>
            <w:pPr>
              <w:spacing w:after="20"/>
            </w:pPr>
            <w:r>
              <w:rPr>
                <w:sz w:val="16"/>
              </w:rPr>
              <w:t>Procedure completeness, warnings retained</w:t>
            </w:r>
          </w:p>
        </w:tc>
      </w:tr>
      <w:tr>
        <w:trPr>
          <w:cantSplit/>
        </w:trPr>
        <w:tc>
          <w:tcPr>
            <w:tcW w:type="dxa" w:w="3341"/>
            <w:vAlign w:val="center"/>
          </w:tcPr>
          <w:p>
            <w:pPr>
              <w:spacing w:after="20"/>
            </w:pPr>
            <w:r>
              <w:rPr>
                <w:sz w:val="16"/>
              </w:rPr>
              <w:t>E2</w:t>
            </w:r>
          </w:p>
        </w:tc>
        <w:tc>
          <w:tcPr>
            <w:tcW w:type="dxa" w:w="3341"/>
            <w:vAlign w:val="center"/>
          </w:tcPr>
          <w:p>
            <w:pPr>
              <w:spacing w:after="20"/>
            </w:pPr>
            <w:r>
              <w:rPr>
                <w:sz w:val="16"/>
              </w:rPr>
              <w:t>No graph vs 1-hop/2-hop verified expansion</w:t>
            </w:r>
          </w:p>
        </w:tc>
        <w:tc>
          <w:tcPr>
            <w:tcW w:type="dxa" w:w="3341"/>
            <w:vAlign w:val="center"/>
          </w:tcPr>
          <w:p>
            <w:pPr>
              <w:spacing w:after="20"/>
            </w:pPr>
            <w:r>
              <w:rPr>
                <w:sz w:val="16"/>
              </w:rPr>
              <w:t>Multi-section evidence recall, cost, false joins</w:t>
            </w:r>
          </w:p>
        </w:tc>
      </w:tr>
      <w:tr>
        <w:trPr>
          <w:cantSplit/>
        </w:trPr>
        <w:tc>
          <w:tcPr>
            <w:tcW w:type="dxa" w:w="3341"/>
            <w:vAlign w:val="center"/>
            <w:shd w:fill="F3F6FA"/>
          </w:tcPr>
          <w:p>
            <w:pPr>
              <w:spacing w:after="20"/>
            </w:pPr>
            <w:r>
              <w:rPr>
                <w:sz w:val="16"/>
              </w:rPr>
              <w:t>E3</w:t>
            </w:r>
          </w:p>
        </w:tc>
        <w:tc>
          <w:tcPr>
            <w:tcW w:type="dxa" w:w="3341"/>
            <w:vAlign w:val="center"/>
            <w:shd w:fill="F3F6FA"/>
          </w:tcPr>
          <w:p>
            <w:r>
              <w:rPr>
                <w:sz w:val="16"/>
              </w:rPr>
              <w:t>Off vs always vs conditional cross-encoder; optional late-interaction alternative</w:t>
            </w:r>
          </w:p>
        </w:tc>
        <w:tc>
          <w:tcPr>
            <w:tcW w:type="dxa" w:w="3341"/>
            <w:vAlign w:val="center"/>
            <w:shd w:fill="F3F6FA"/>
          </w:tcPr>
          <w:p>
            <w:r>
              <w:rPr>
                <w:sz w:val="16"/>
              </w:rPr>
              <w:t>Complete evidence recall, rescues/regressions, trigger accuracy, fallback rate, TTFO p95, cost</w:t>
            </w:r>
          </w:p>
        </w:tc>
      </w:tr>
      <w:tr>
        <w:trPr>
          <w:cantSplit/>
        </w:trPr>
        <w:tc>
          <w:tcPr>
            <w:tcW w:type="dxa" w:w="3341"/>
            <w:vAlign w:val="center"/>
          </w:tcPr>
          <w:p>
            <w:pPr>
              <w:spacing w:after="20"/>
            </w:pPr>
            <w:r>
              <w:rPr>
                <w:sz w:val="16"/>
              </w:rPr>
              <w:t>E4</w:t>
            </w:r>
          </w:p>
        </w:tc>
        <w:tc>
          <w:tcPr>
            <w:tcW w:type="dxa" w:w="3341"/>
            <w:vAlign w:val="center"/>
          </w:tcPr>
          <w:p>
            <w:pPr>
              <w:spacing w:after="20"/>
            </w:pPr>
            <w:r>
              <w:t>Verifier coverage/support alternatives evaluated offline; current serving always includes a separate verifier</w:t>
            </w:r>
          </w:p>
        </w:tc>
        <w:tc>
          <w:tcPr>
            <w:tcW w:type="dxa" w:w="3341"/>
            <w:vAlign w:val="center"/>
          </w:tcPr>
          <w:p>
            <w:pPr>
              <w:spacing w:after="20"/>
            </w:pPr>
            <w:r>
              <w:rPr>
                <w:sz w:val="16"/>
              </w:rPr>
              <w:t>Unsupported answer risk vs answerable coverage</w:t>
            </w:r>
          </w:p>
        </w:tc>
      </w:tr>
      <w:tr>
        <w:trPr>
          <w:cantSplit/>
        </w:trPr>
        <w:tc>
          <w:tcPr>
            <w:tcW w:type="dxa" w:w="3341"/>
            <w:vAlign w:val="center"/>
            <w:shd w:fill="F3F6FA"/>
          </w:tcPr>
          <w:p>
            <w:pPr>
              <w:spacing w:after="20"/>
            </w:pPr>
            <w:r>
              <w:rPr>
                <w:sz w:val="16"/>
              </w:rPr>
              <w:t>E5</w:t>
            </w:r>
          </w:p>
        </w:tc>
        <w:tc>
          <w:tcPr>
            <w:tcW w:type="dxa" w:w="3341"/>
            <w:vAlign w:val="center"/>
            <w:shd w:fill="F3F6FA"/>
          </w:tcPr>
          <w:p>
            <w:pPr>
              <w:spacing w:after="20"/>
            </w:pPr>
            <w:r>
              <w:rPr>
                <w:sz w:val="16"/>
              </w:rPr>
              <w:t>Text vs photo / speech input</w:t>
            </w:r>
          </w:p>
        </w:tc>
        <w:tc>
          <w:tcPr>
            <w:tcW w:type="dxa" w:w="3341"/>
            <w:vAlign w:val="center"/>
            <w:shd w:fill="F3F6FA"/>
          </w:tcPr>
          <w:p>
            <w:pPr>
              <w:spacing w:after="20"/>
            </w:pPr>
            <w:r>
              <w:rPr>
                <w:sz w:val="16"/>
              </w:rPr>
              <w:t>Observation accuracy, grounding and total latency</w:t>
            </w:r>
          </w:p>
        </w:tc>
      </w:tr>
    </w:tbl>
    <w:p>
      <w:pPr>
        <w:spacing w:after="0"/>
      </w:pPr>
    </w:p>
    <w:p>
      <w:r>
        <w:t>Version together: manual checksum, parser version, chunking parameters, embedding model, index build, graph build, step registry, applicability rules, dependency manifests and review decisions, controller policy, retrieval policy and trigger thresholds, calibration dataset and approval, reranker, generator, system prompt, verifier and evaluation set. Rule, review, dependency or policy changes invalidate affected exact-cache entries and require revalidation of affected cases. All comparisons must use the same held-out cases.</w:t>
      </w:r>
    </w:p>
    <w:p>
      <w:pPr>
        <w:pStyle w:val="Heading1"/>
      </w:pPr>
      <w:r>
        <w:rPr>
          <w:color w:val="000000"/>
        </w:rPr>
        <w:t>13  Unresolved engineering risks</w:t>
      </w:r>
    </w:p>
    <w:p>
      <w:pPr>
        <w:pStyle w:val="ListBullet"/>
      </w:pPr>
      <w:r>
        <w:t>Visual table or diagram extraction could silently lose prerequisites, units or warnings</w:t>
      </w:r>
    </w:p>
    <w:p>
      <w:pPr>
        <w:pStyle w:val="ListBullet"/>
      </w:pPr>
      <w:r>
        <w:t>Manual may not contain a true decision tree or enough alternatives for adaptive troubleshooting; OEM referral remains valid end state</w:t>
      </w:r>
    </w:p>
    <w:p>
      <w:pPr>
        <w:pStyle w:val="ListBullet"/>
      </w:pPr>
      <w:r>
        <w:t>Closed-model semantic validators may exhibit false acceptances and false refusals; measure both</w:t>
      </w:r>
    </w:p>
    <w:p>
      <w:pPr>
        <w:pStyle w:val="ListBullet"/>
      </w:pPr>
      <w:r>
        <w:t>Hosted free-tier cold starts and egress constraints can dominate model-side latency</w:t>
      </w:r>
    </w:p>
    <w:p>
      <w:pPr>
        <w:pStyle w:val="ListBullet"/>
      </w:pPr>
      <w:r>
        <w:t>Model identity hallucination from photos can cause incorrect manual routing; require confirmed bike variant</w:t>
      </w:r>
    </w:p>
    <w:p>
      <w:r>
        <w:t>Supporting vendor/research documentation is listed in the companion To Build document.</w:t>
      </w:r>
    </w:p>
    <w:p>
      <w:pPr>
        <w:pStyle w:val="Heading1"/>
      </w:pPr>
      <w:r>
        <w:rPr>
          <w:color w:val="000000"/>
        </w:rPr>
        <w:t>Recorded implementation status</w:t>
      </w:r>
    </w:p>
    <w:p>
      <w:r>
        <w:t>Versioned hosted ingestion and private retrieval infrastructure remain available. Historical A/B/C experiments and no-online-verifier generic experiments are preserved as measurements of superseded runtimes. The new draft verify stream architecture requires a fresh frozen runtime, independent review and real-output evaluation before release.</w:t>
      </w:r>
    </w:p>
    <w:p>
      <w:r>
        <w:t>The exact 161 source-content/initial-response scopes have coordinator approval under owner delegation in release_manifest_v3.json, checksum b8f8c7b5a9e1a299f0a90eecbf10127779b62b35fc105f0cd587de433e235298. The 17-test approval consumer validates 187 bound files. Remaining limitations include full adaptive transitions, general vision, changed runtime objects and source-specific gaps outside those scopes. End-user PDF, excerpt and figure delivery remain prohibited by source_manifest.json; approved paraphrases and citation metadata are the UI content boundary.</w:t>
      </w:r>
    </w:p>
    <w:p>
      <w:r>
        <w:t>Use current exact owner-authorized budget and provider-spend records. The latest owner handoff records INR2700 project budget and guard stop INR2540; earlier INR800/INR640 records are historical. This document grants no new spending, billing restart, model substitution or deployment authorization.</w:t>
      </w:r>
    </w:p>
    <w:p>
      <w:r>
        <w:t>Existing private deployments and failed candidate images remain separate from this current design. Do not promote an old fixed-answer or no-online-verifier runtime. New private/public deployment requires successful fresh acceptance and exact release authorization.</w:t>
      </w:r>
    </w:p>
    <w:p>
      <w:pPr>
        <w:pStyle w:val="Heading1"/>
        <w:pageBreakBefore/>
      </w:pPr>
      <w:r>
        <w:rPr>
          <w:color w:val="000000"/>
        </w:rPr>
        <w:t>14  Owner selected draft verify stream delivery</w:t>
      </w:r>
    </w:p>
    <w:p>
      <w:r>
        <w:t>TRD v0.6 records the owner decision of 11 October 2026: open manual question answering through DRAFT, a separate online semantic VERIFY call, and delivery of the saved buffered response through STREAM. This supersedes A/B selection, exact-answer-only restrictions, universal StepDefinition or diagnostic-path gates, and the later no-online-verifier amendment. Source integrity, selected-manual applicability, privacy, limits and source display restrictions remain binding. This design decision does not authorize new spending, billing changes or deployment.</w:t>
      </w:r>
    </w:p>
    <w:tbl>
      <w:tblPr>
        <w:tblStyle w:val="TableGrid"/>
        <w:tblW w:type="auto" w:w="0"/>
        <w:tblLayout w:type="fixed"/>
        <w:tblLook w:firstColumn="1" w:firstRow="1" w:lastColumn="0" w:lastRow="0" w:noHBand="0" w:noVBand="1" w:val="04A0"/>
      </w:tblPr>
      <w:tblGrid>
        <w:gridCol w:w="1656"/>
        <w:gridCol w:w="3384"/>
        <w:gridCol w:w="4320"/>
      </w:tblGrid>
      <w:tr>
        <w:trPr>
          <w:cantSplit/>
          <w:tblHeader/>
        </w:trPr>
        <w:tc>
          <w:tcPr>
            <w:tcW w:type="dxa" w:w="1656"/>
            <w:tcBorders>
              <w:top w:val="single" w:sz="4" w:color="D9D9D9"/>
              <w:left w:val="single" w:sz="4" w:color="D9D9D9"/>
              <w:bottom w:val="single" w:sz="4" w:color="D9D9D9"/>
              <w:right w:val="single" w:sz="4" w:color="D9D9D9"/>
            </w:tcBorders>
            <w:shd w:fill="DCE6F1"/>
          </w:tcPr>
          <w:p>
            <w:pPr>
              <w:spacing w:after="100" w:before="60"/>
            </w:pPr>
            <w:r>
              <w:rPr>
                <w:b/>
                <w:color w:val="000000"/>
                <w:sz w:val="18"/>
              </w:rPr>
              <w:t>Method</w:t>
            </w:r>
          </w:p>
        </w:tc>
        <w:tc>
          <w:tcPr>
            <w:tcW w:type="dxa" w:w="3384"/>
            <w:tcBorders>
              <w:top w:val="single" w:sz="4" w:color="D9D9D9"/>
              <w:left w:val="single" w:sz="4" w:color="D9D9D9"/>
              <w:bottom w:val="single" w:sz="4" w:color="D9D9D9"/>
              <w:right w:val="single" w:sz="4" w:color="D9D9D9"/>
            </w:tcBorders>
            <w:shd w:fill="DCE6F1"/>
          </w:tcPr>
          <w:p>
            <w:pPr>
              <w:spacing w:after="100" w:before="60"/>
            </w:pPr>
            <w:r>
              <w:t>Historical method behavior</w:t>
            </w:r>
          </w:p>
        </w:tc>
        <w:tc>
          <w:tcPr>
            <w:tcW w:type="dxa" w:w="4320"/>
            <w:tcBorders>
              <w:top w:val="single" w:sz="4" w:color="D9D9D9"/>
              <w:left w:val="single" w:sz="4" w:color="D9D9D9"/>
              <w:bottom w:val="single" w:sz="4" w:color="D9D9D9"/>
              <w:right w:val="single" w:sz="4" w:color="D9D9D9"/>
            </w:tcBorders>
            <w:shd w:fill="DCE6F1"/>
          </w:tcPr>
          <w:p>
            <w:pPr>
              <w:spacing w:after="100" w:before="60"/>
            </w:pPr>
            <w:r>
              <w:t>Historical release requirement superseded by section 14</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t>Historical A component selection</w:t>
            </w:r>
          </w:p>
        </w:tc>
        <w:tc>
          <w:tcPr>
            <w:tcW w:type="dxa" w:w="33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Select among exact reviewed wording; deliver by streaming</w:t>
            </w:r>
          </w:p>
        </w:tc>
        <w:tc>
          <w:tcPr>
            <w:tcW w:type="dxa" w:w="432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Validate exact indices, scope, dependencies and session; emit the complete approved unit after durable save</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t>Historical B short generation</w:t>
            </w:r>
          </w:p>
        </w:tc>
        <w:tc>
          <w:tcPr>
            <w:tcW w:type="dxa" w:w="33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Retain concise source-grounded composition with a separate verifier</w:t>
            </w:r>
          </w:p>
        </w:tc>
        <w:tc>
          <w:tcPr>
            <w:tcW w:type="dxa" w:w="4320"/>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Withhold the whole draft until semantic verification, deterministic gates and durable save pass</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t>Historical C verified independent blocks</w:t>
            </w:r>
          </w:p>
        </w:tc>
        <w:tc>
          <w:tcPr>
            <w:tcW w:type="dxa" w:w="33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Retain historical experiment only; do not wire into the current UI</w:t>
            </w:r>
          </w:p>
        </w:tc>
        <w:tc>
          <w:tcPr>
            <w:tcW w:type="dxa" w:w="432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No release route selected; no silent fallback from A/B to C</w:t>
            </w:r>
          </w:p>
        </w:tc>
      </w:tr>
    </w:tbl>
    <w:p/>
    <w:p>
      <w:r>
        <w:t>Show the operational labels Retrieving manual information, Drafting your answer, Checking the answer against the manual, and Displaying the verified answer when the backend actually enters each stage. Open the progress channel promptly, without chain-of-thought, fake percentages or simulated timing. Release answer content only after whole-response verification, final integrity checks and durable save. Stream the exact buffered accepted response without another model call. Bind delivery to accepted response hash, evidence and runtime versions, and operation ID; preserve complete saved answers and idempotent recovery after disconnects.</w:t>
      </w:r>
    </w:p>
    <w:p>
      <w:pPr>
        <w:pStyle w:val="Heading1"/>
      </w:pPr>
      <w:r>
        <w:rPr>
          <w:color w:val="000000"/>
        </w:rPr>
        <w:t>14 1 Historical comparison measurements</w:t>
      </w:r>
    </w:p>
    <w:p>
      <w:r>
        <w:t>Hosted run 38122505406 at commit e910c86d2fb8a0a2f955bbea4fa4cbedbe64d82d used gemma-4-26b-a4b-it with minimal thinking on GEN003 mirrors, EXP003 signal cancellation and GEN026 clock settings. Nine initial turns and nine immediate repeats produced 8/9 SUPPORTED outcomes in each pass. All six A/B initial cases passed. C clock delivered no output in either pass. The run made 27 attempts with zero retries: 26 known HTTP200 results and one unknown status.</w:t>
      </w:r>
    </w:p>
    <w:p>
      <w:r>
        <w:t>Report retrieval wall time, provider TTFT, request-relative TTFT, actual first verified output and full completion separately. Keep fresh-worker startup, benchmark cooldown and idle provider-admission waits distinct. Removing idle waits arithmetically is not an observed unpaced run. Actual receipt was measured on hosted localhost HTTP/SSE; public network and browser rendering remain unmeasured. Three cases cannot establish p95 or architecture-wide superiority.</w:t>
      </w:r>
    </w:p>
    <w:p>
      <w:r>
        <w:t>Historical candidate-cache experiment: three A repeats hit exact reviewed wording; B/C repeats missed. Those reuse results and the dense/BM25 paired controls remain historical evidence. Current integration disables incompatible Arm A and exact-response shortcuts and always applies the new verification requirement.</w:t>
      </w:r>
    </w:p>
    <w:p>
      <w:pPr>
        <w:pStyle w:val="Heading1"/>
      </w:pPr>
      <w:r>
        <w:rPr>
          <w:color w:val="000000"/>
        </w:rPr>
        <w:t>14 2 Work for the current pipeline</w:t>
      </w:r>
    </w:p>
    <w:p>
      <w:r>
        <w:t>Integrate private whole-answer drafting, separate strict semantic verification, at most one evidence-supported correction, truthful backend progress, final integrity/save and exact buffered streaming. Freeze fresh prompt/runtime/verifier/delivery contracts and test independent rider-style held-out cases against original pages. Old post facto audits do not authorize the new serving path.</w:t>
      </w:r>
    </w:p>
    <w:p>
      <w:r>
        <w:t>Second, investigate current Cloud Run minimum-instance pricing for the actual region, CPU, memory and billing mode, including idle cost, free tier and existing budget impact. Check current startup CPU boost settings and pricing and propose a controlled benchmark. Fresh-worker readiness was 56.64 seconds excluding controls, including 38.25 seconds for dense model/index load; this is not measured Cloud Run request cold latency. Do not change deployment, minimum instances, boost or billing as part of research.</w:t>
      </w:r>
    </w:p>
    <w:p>
      <w:r>
        <w:t>The companion architecture decision note and build/evaluation register are reconciled to TRD v0.6. Historical A/B, exact-selection and no-online-verifier decisions and measured results remain preserved, including exact prior-document bytes under reports/grounded_generation/draft_verify_stream_v1/documents/prior_documents.</w:t>
      </w:r>
    </w:p>
    <w:sectPr w:rsidR="00FC693F" w:rsidRPr="0006063C" w:rsidSect="00034616">
      <w:headerReference w:type="default" r:id="rId9"/>
      <w:footerReference w:type="default" r:id="rId10"/>
      <w:footerReference w:type="first" r:id="rId12"/>
      <w:footerReference w:type="even" r:id="rId13"/>
      <w:headerReference w:type="first" r:id="rId14"/>
      <w:headerReference w:type="even" r:id="rId15"/>
      <w:pgSz w:w="12240" w:h="15840"/>
      <w:pgMar w:top="1123" w:right="1109" w:bottom="1008"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6"/>
      </w:rPr>
      <w:t xml:space="preserve">TRD v0.5  |  OWNER A B DECISION  |  11 OCTOBER 2026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000000"/>
        <w:sz w:val="16"/>
      </w:rPr>
      <w:t>MOTOMEDIC AI   |   DESIGN PACKAGE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1022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header" Target="header2.xml"/><Relationship Id="rId15"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2026-10-09T12:00:00Z</dcterms:modified>
  <cp:category/>
  <cp:version>0.3</cp:version>
</cp:coreProperties>
</file>