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MotoMedic AI product requirements</w:t>
      </w:r>
    </w:p>
    <w:p>
      <w:pPr>
        <w:pStyle w:val="Subtitle"/>
      </w:pPr>
      <w:r>
        <w:rPr>
          <w:color w:val="000000"/>
        </w:rPr>
        <w:t>PRD version 04 user journeys and acceptance criteria aligned with TRD version 06</w:t>
      </w:r>
    </w:p>
    <w:p>
      <w:r>
        <w:t>Reconciled 11 October 2026 current design implemented status requires fresh evidence</w:t>
      </w:r>
    </w:p>
    <w:p>
      <w:pPr/>
      <w:r>
        <w:t>TRD v0.6 records the owner decision of 11 October 2026: open manual question answering through DRAFT, a separate online semantic VERIFY call, and delivery of the saved buffered response through STREAM. This supersedes A/B selection, exact-answer-only restrictions, universal StepDefinition or diagnostic-path gates, and the later no-online-verifier amendment. Source integrity, selected-manual applicability, privacy, limits and source display restrictions remain binding. This design decision does not authorize new spending, billing changes or deployment.</w:t>
      </w:r>
    </w:p>
    <w:p>
      <w:pPr>
        <w:pStyle w:val="Heading1"/>
      </w:pPr>
      <w:r>
        <w:rPr>
          <w:color w:val="000000"/>
        </w:rPr>
        <w:t>Current answer architecture</w:t>
      </w:r>
    </w:p>
    <w:p>
      <w:pPr/>
      <w:r>
        <w:t>The rider may ask any question about the selected motorcycle and manual, including a documented procedure. No predefined question, canonical response, intent catalogue, fact group, answer scope or registered action is required for an otherwise source-supported answer. The applicable manual evidence is the knowledge authority. Give concise useful information, state partial support clearly, and provide the verified OEM support route where appropriate. Do not invent diagnosis, repairs, conditions or OEM ordering. Rider usefulness feedback does not establish technical correctness or a verified repair.</w:t>
      </w:r>
    </w:p>
    <w:p>
      <w:pPr/>
      <w:r>
        <w:t>Reuse versioned hosted Docling ingestion, BGE M3 plus BM25 and Qdrant. Retrieve and assemble relevant immutable passages through hybrid search, bounded recovery and conditional reranking. Do not parse or embed the manual per request. A high relevance score does not establish support; failure to retrieve an answer is not proof of absence throughout the manual.</w:t>
      </w:r>
    </w:p>
    <w:p>
      <w:pPr/>
      <w:r>
        <w:t>DRAFT privately using the actual question, relevant conversation history and outcomes, assembled applicable evidence and citation IDs, and the source-only policy. Produce the complete proposed answer with claim mappings, conditions, warnings and any limits. There is no separate assess-evidence-first LLM call. Allow new wording and combinations of supported facts; never expose private drafting tokens.</w:t>
      </w:r>
    </w:p>
    <w:p>
      <w:pPr/>
      <w:r>
        <w:t>VERIFY in a separate LLM call against the exact question, relevant history, complete proposed response, claim mappings and source passages. Check meaningful question coverage and every technical claim, including applicability, conditions, warnings, prerequisites, units and specifications. Record strict structured question coverage, per-claim support, omissions, conflicts and an ordinary decision of RELEASE_COMPLETE, RELEASE_PARTIAL or SHOW_FALLBACK, bound to exact response and evidence hashes. Preserve RELEASE_CLARIFICATION for AMBIGUOUS and RELEASE_SAFETY_STOP for SAFETY_STOP special routing. Confidence is not acceptance. The verifier evaluates and does not rewrite a released answer.</w:t>
      </w:r>
    </w:p>
    <w:p>
      <w:pPr/>
      <w:r>
        <w:t>Finalize all server-added technical text, warnings, citations and any partial-answer limitation before verification. Withhold rejected drafts. Permit at most one evidence-supported correction and a new verification call; any changed technical response must be verified again. If support cannot be established or the bounded correction fails, use SHOW_FALLBACK without another correction. Verification remains probabilistic; evaluate false acceptance and false refusal independently against original pages.</w:t>
      </w:r>
    </w:p>
    <w:p>
      <w:pPr/>
      <w:r>
        <w:t>Show the operational labels Retrieving manual information, Drafting your answer, Checking the answer against the manual, and Displaying the verified answer when the backend actually enters each stage. Open the progress channel promptly, without chain-of-thought, fake percentages or simulated timing. Release technical answer content only after whole-response verification, final integrity checks and durable save. Stream the exact buffered verified response without another model call. Bind delivery to response hash, evidence and runtime versions, and operation ID; preserve complete saved answers and idempotent recovery after disconnects. Fixed neutral fallback and system-error messages do not need successful LLM verification; never label their display as a verified technical answer.</w:t>
      </w:r>
    </w:p>
    <w:p>
      <w:pPr/>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p>
      <w:pPr/>
      <w:r>
        <w:t>The ordinary verifier decisions are exactly RELEASE_COMPLETE, RELEASE_PARTIAL and SHOW_FALLBACK. These decision labels are distinct from the application states SUPPORTED, AMBIGUOUS, UNSUPPORTED, SAFETY_STOP and SYSTEM_ERROR; do not introduce ACCEPTED or PARTIAL as verdict labels. RELEASE_COMPLETE and RELEASE_PARTIAL release only the exact verified technical response; a partial response must include its limitation before verification. SHOW_FALLBACK handles irrelevant evidence, missing support or failed bounded correction, while preserving RELEASE_CLARIFICATION for AMBIGUOUS and RELEASE_SAFETY_STOP for SAFETY_STOP as distinct special decisions. Ask one focused question only for a rider-resolvable ambiguity needed for the actual question. Source gaps or review decisions are maintainer issues. Malformed output, timeout, outage, exhausted quota or integrity failure is SYSTEM_ERROR, never acceptance or proof of absence throughout the manual. Preserve safety-stop precedence; technical safety wording is also covered by verification before delivery.</w:t>
      </w:r>
    </w:p>
    <w:p>
      <w:pPr/>
      <w:r>
        <w:t>For SHOW_FALLBACK, display this exact fixed application message: I couldn’t find relevant information in the selected manual to answer your question. Please contact Royal Enfield or an authorised service centre. Attach the verified OEM contact URI from source_manifest.json, preserving its manifest binding. Record the exact internal reason code IRRELEVANT_ANSWER, MISSING_SUPPORT or CORRECTION_UNSUCCESSFUL. Preserve specific provider, schema and source-integrity failure reason codes in telemetry while displaying the fixed neutral SYSTEM_ERROR message. This fallback is neutral application wording, not a verified technical answer. For SYSTEM_ERROR, display this exact fixed application message: I couldn’t check the answer right now. Please try again shortly. These fixed neutral messages require no successful LLM generation or verification call and remain available during provider failure. Do not expose rejected technical drafts or claim these messages received semantic technical approval. Preserve application routing, safety precedence, session ownership and saved delivery integrity.</w:t>
      </w:r>
    </w:p>
    <w:p>
      <w:pPr/>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p>
      <w:pPr/>
      <w:r>
        <w:t>Preserve exact immutable source IDs, original-page provenance and approved source-object bindings. Source-integrity review is distinct from authored-answer approval; the frozen 161-case v3 package and its exact bytes remain unchanged. Parent labels do not authorize whole parent bodies. Restore applicable warnings, prerequisites, table headers, units and referenced context only through reviewed source relationships. Page 103 fallback and unresolved source-specific limitations remain explicit. Rider PDF, excerpt and figure-crop delivery remains prohibited under source_manifest.json; use verified paraphrases and server-derived citation metadata.</w:t>
      </w:r>
    </w:p>
    <w:p>
      <w:pPr/>
      <w:r>
        <w:t>This is the current design contract, not a deployment or semantic-correctness claim. The new draft, verifier, buffered delivery and progress boundary need fresh runtime tests and independent real-output evaluation. Preserve failed prior runs. Use the currently authorized gemma-4-26b-a4b-it model unless the owner approves a change. Consult current deployment, evaluation and budget receipts; the design decision grants no new provider-spending authority.</w:t>
      </w:r>
    </w:p>
    <w:p>
      <w:pPr>
        <w:pStyle w:val="Heading1"/>
      </w:pPr>
      <w:r>
        <w:rPr>
          <w:color w:val="000000"/>
        </w:rPr>
        <w:t>1  Product summary</w:t>
      </w:r>
    </w:p>
    <w:p>
      <w:r>
        <w:t>MotoMedic answers natural rider questions about the selected motorcycle using the supplied Royal Enfield New Himalayan 450 owner manual. Success is a concise supported complete or explicitly partial answer, a needed focused clarification, a verified safety stop, or an honest source limitation with OEM support. The assistant is an advisory aid; it does not verify repairs.</w:t>
      </w:r>
    </w:p>
    <w:p>
      <w:pPr>
        <w:pStyle w:val="Heading1"/>
      </w:pPr>
      <w:r>
        <w:rPr>
          <w:color w:val="000000"/>
        </w:rPr>
        <w:t>2  Problem, users and jobs to be done</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r>
              <w:rPr>
                <w:b/>
                <w:color w:val="FFFFFF"/>
                <w:sz w:val="16"/>
              </w:rPr>
              <w:t>Persona</w:t>
            </w:r>
          </w:p>
        </w:tc>
        <w:tc>
          <w:tcPr>
            <w:tcW w:type="dxa" w:w="3341"/>
            <w:shd w:fill="102238"/>
          </w:tcPr>
          <w:p>
            <w:r>
              <w:rPr>
                <w:b/>
                <w:color w:val="FFFFFF"/>
                <w:sz w:val="16"/>
              </w:rPr>
              <w:t>Job</w:t>
            </w:r>
          </w:p>
        </w:tc>
        <w:tc>
          <w:tcPr>
            <w:tcW w:type="dxa" w:w="3341"/>
            <w:shd w:fill="102238"/>
          </w:tcPr>
          <w:p>
            <w:r>
              <w:rPr>
                <w:b/>
                <w:color w:val="FFFFFF"/>
                <w:sz w:val="16"/>
              </w:rPr>
              <w:t>Critical need</w:t>
            </w:r>
          </w:p>
        </w:tc>
      </w:tr>
      <w:tr>
        <w:trPr>
          <w:cantSplit/>
        </w:trPr>
        <w:tc>
          <w:tcPr>
            <w:tcW w:type="dxa" w:w="3341"/>
            <w:vAlign w:val="center"/>
          </w:tcPr>
          <w:p>
            <w:pPr>
              <w:spacing w:after="20"/>
            </w:pPr>
            <w:r>
              <w:rPr>
                <w:sz w:val="16"/>
              </w:rPr>
              <w:t>Motorcycle owner / rider</w:t>
            </w:r>
          </w:p>
        </w:tc>
        <w:tc>
          <w:tcPr>
            <w:tcW w:type="dxa" w:w="3341"/>
            <w:vAlign w:val="center"/>
          </w:tcPr>
          <w:p>
            <w:pPr>
              <w:spacing w:after="20"/>
            </w:pPr>
            <w:r>
              <w:rPr>
                <w:sz w:val="16"/>
              </w:rPr>
              <w:t>Understand a warning, symptom or basic maintenance issue</w:t>
            </w:r>
          </w:p>
        </w:tc>
        <w:tc>
          <w:tcPr>
            <w:tcW w:type="dxa" w:w="3341"/>
            <w:vAlign w:val="center"/>
          </w:tcPr>
          <w:p>
            <w:pPr>
              <w:spacing w:after="20"/>
            </w:pPr>
            <w:r>
              <w:rPr>
                <w:sz w:val="16"/>
              </w:rPr>
              <w:t>Simple language; no unsupported repairs</w:t>
            </w:r>
          </w:p>
        </w:tc>
      </w:tr>
      <w:tr>
        <w:trPr>
          <w:cantSplit/>
        </w:trPr>
        <w:tc>
          <w:tcPr>
            <w:tcW w:type="dxa" w:w="3341"/>
            <w:vAlign w:val="center"/>
            <w:shd w:fill="F3F6FA"/>
          </w:tcPr>
          <w:p>
            <w:pPr>
              <w:spacing w:after="20"/>
            </w:pPr>
            <w:r>
              <w:rPr>
                <w:sz w:val="16"/>
              </w:rPr>
              <w:t>Confident hobbyist</w:t>
            </w:r>
          </w:p>
        </w:tc>
        <w:tc>
          <w:tcPr>
            <w:tcW w:type="dxa" w:w="3341"/>
            <w:vAlign w:val="center"/>
            <w:shd w:fill="F3F6FA"/>
          </w:tcPr>
          <w:p>
            <w:pPr>
              <w:spacing w:after="20"/>
            </w:pPr>
            <w:r>
              <w:rPr>
                <w:sz w:val="16"/>
              </w:rPr>
              <w:t>Locate a specific inspection procedure or specification</w:t>
            </w:r>
          </w:p>
        </w:tc>
        <w:tc>
          <w:tcPr>
            <w:tcW w:type="dxa" w:w="3341"/>
            <w:vAlign w:val="center"/>
            <w:shd w:fill="F3F6FA"/>
          </w:tcPr>
          <w:p>
            <w:pPr>
              <w:spacing w:after="20"/>
            </w:pPr>
            <w:r>
              <w:rPr>
                <w:sz w:val="16"/>
              </w:rPr>
              <w:t>Exact variant, units, prerequisites and citations</w:t>
            </w:r>
          </w:p>
        </w:tc>
      </w:tr>
      <w:tr>
        <w:trPr>
          <w:cantSplit/>
        </w:trPr>
        <w:tc>
          <w:tcPr>
            <w:tcW w:type="dxa" w:w="3341"/>
            <w:vAlign w:val="center"/>
          </w:tcPr>
          <w:p>
            <w:pPr>
              <w:spacing w:after="20"/>
            </w:pPr>
            <w:r>
              <w:rPr>
                <w:sz w:val="16"/>
              </w:rPr>
              <w:t>Reviewer / interviewer</w:t>
            </w:r>
          </w:p>
        </w:tc>
        <w:tc>
          <w:tcPr>
            <w:tcW w:type="dxa" w:w="3341"/>
            <w:vAlign w:val="center"/>
          </w:tcPr>
          <w:p>
            <w:pPr>
              <w:spacing w:after="20"/>
            </w:pPr>
            <w:r>
              <w:rPr>
                <w:sz w:val="16"/>
              </w:rPr>
              <w:t>Try known, ambiguous, adversarial and photo scenarios</w:t>
            </w:r>
          </w:p>
        </w:tc>
        <w:tc>
          <w:tcPr>
            <w:tcW w:type="dxa" w:w="3341"/>
            <w:vAlign w:val="center"/>
          </w:tcPr>
          <w:p>
            <w:pPr>
              <w:spacing w:after="20"/>
            </w:pPr>
            <w:r>
              <w:rPr>
                <w:sz w:val="16"/>
              </w:rPr>
              <w:t>A shareable URL, reproducible answers, transparent failures</w:t>
            </w:r>
          </w:p>
        </w:tc>
      </w:tr>
      <w:tr>
        <w:trPr>
          <w:cantSplit/>
        </w:trPr>
        <w:tc>
          <w:tcPr>
            <w:tcW w:type="dxa" w:w="3341"/>
            <w:vAlign w:val="center"/>
            <w:shd w:fill="F3F6FA"/>
          </w:tcPr>
          <w:p>
            <w:pPr>
              <w:spacing w:after="20"/>
            </w:pPr>
            <w:r>
              <w:rPr>
                <w:sz w:val="16"/>
              </w:rPr>
              <w:t>Maintainer / developer</w:t>
            </w:r>
          </w:p>
        </w:tc>
        <w:tc>
          <w:tcPr>
            <w:tcW w:type="dxa" w:w="3341"/>
            <w:vAlign w:val="center"/>
            <w:shd w:fill="F3F6FA"/>
          </w:tcPr>
          <w:p>
            <w:pPr>
              <w:spacing w:after="20"/>
            </w:pPr>
            <w:r>
              <w:rPr>
                <w:sz w:val="16"/>
              </w:rPr>
              <w:t>Audit a conversation and compare pipeline versions</w:t>
            </w:r>
          </w:p>
        </w:tc>
        <w:tc>
          <w:tcPr>
            <w:tcW w:type="dxa" w:w="3341"/>
            <w:vAlign w:val="center"/>
            <w:shd w:fill="F3F6FA"/>
          </w:tcPr>
          <w:p>
            <w:pPr>
              <w:spacing w:after="20"/>
            </w:pPr>
            <w:r>
              <w:rPr>
                <w:sz w:val="16"/>
              </w:rPr>
              <w:t>Traces, regression suite, source and prompt versions</w:t>
            </w:r>
          </w:p>
        </w:tc>
      </w:tr>
    </w:tbl>
    <w:p>
      <w:pPr>
        <w:spacing w:after="0"/>
      </w:pPr>
    </w:p>
    <w:p>
      <w:pPr>
        <w:pStyle w:val="Heading1"/>
      </w:pPr>
      <w:r>
        <w:rPr>
          <w:color w:val="000000"/>
        </w:rPr>
        <w:t>3  Goals and non-goals</w:t>
      </w:r>
    </w:p>
    <w:p>
      <w:pPr>
        <w:pStyle w:val="ListBullet"/>
      </w:pPr>
      <w:r>
        <w:t>G1: Deliver correct manual-supported outcomes with zero manually reviewed unsupported technical steps in the release suite; this is a benchmark gate, not a field guarantee.</w:t>
      </w:r>
    </w:p>
    <w:p>
      <w:pPr>
        <w:pStyle w:val="ListBullet"/>
      </w:pPr>
      <w:r>
        <w:t>G2: Support iterative diagnosis without repeating ruled-out steps or fabricating alternative repair paths</w:t>
      </w:r>
    </w:p>
    <w:p>
      <w:pPr>
        <w:pStyle w:val="ListBullet"/>
      </w:pPr>
      <w:r>
        <w:t>G3: Accept text and bike photos; support optional voice input that resolves to the same grounding flow</w:t>
      </w:r>
    </w:p>
    <w:p>
      <w:pPr>
        <w:pStyle w:val="ListBullet"/>
      </w:pPr>
      <w:r>
        <w:t>G4: Be accessible by URL and independently testable without a local installation</w:t>
      </w:r>
    </w:p>
    <w:p>
      <w:pPr>
        <w:pStyle w:val="ListBullet"/>
      </w:pPr>
      <w:r>
        <w:t>NG1: Diagnose unobservable internal faults from a photograph or guarantee a completed repair</w:t>
      </w:r>
    </w:p>
    <w:p>
      <w:pPr>
        <w:pStyle w:val="ListBullet"/>
      </w:pPr>
      <w:r>
        <w:t>NG2: Blend general web or model knowledge into technical recommendations</w:t>
      </w:r>
    </w:p>
    <w:p>
      <w:pPr>
        <w:pStyle w:val="ListBullet"/>
      </w:pPr>
      <w:r>
        <w:t>NG3: Offer user-configurable aftermarket modifications, undocumented bypasses or unverified safety-critical actions</w:t>
      </w:r>
    </w:p>
    <w:p>
      <w:pPr>
        <w:pStyle w:val="Heading1"/>
      </w:pPr>
      <w:r>
        <w:rPr>
          <w:color w:val="000000"/>
        </w:rPr>
        <w:t>4  Functional requirements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r>
              <w:rPr>
                <w:b/>
                <w:color w:val="FFFFFF"/>
                <w:sz w:val="16"/>
              </w:rPr>
              <w:t>ID / level</w:t>
            </w:r>
          </w:p>
        </w:tc>
        <w:tc>
          <w:tcPr>
            <w:tcW w:type="dxa" w:w="3341"/>
            <w:shd w:fill="102238"/>
          </w:tcPr>
          <w:p>
            <w:r>
              <w:rPr>
                <w:b/>
                <w:color w:val="FFFFFF"/>
                <w:sz w:val="16"/>
              </w:rPr>
              <w:t>Requirement</w:t>
            </w:r>
          </w:p>
        </w:tc>
        <w:tc>
          <w:tcPr>
            <w:tcW w:type="dxa" w:w="3341"/>
            <w:shd w:fill="102238"/>
          </w:tcPr>
          <w:p>
            <w:r>
              <w:rPr>
                <w:b/>
                <w:color w:val="FFFFFF"/>
                <w:sz w:val="16"/>
              </w:rPr>
              <w:t>Acceptance criterion</w:t>
            </w:r>
          </w:p>
        </w:tc>
      </w:tr>
      <w:tr>
        <w:trPr>
          <w:cantSplit/>
        </w:trPr>
        <w:tc>
          <w:tcPr>
            <w:tcW w:type="dxa" w:w="3341"/>
            <w:vAlign w:val="center"/>
          </w:tcPr>
          <w:p>
            <w:pPr>
              <w:spacing w:after="20"/>
            </w:pPr>
            <w:r>
              <w:rPr>
                <w:sz w:val="16"/>
              </w:rPr>
              <w:t>FR-01 / P0</w:t>
            </w:r>
          </w:p>
        </w:tc>
        <w:tc>
          <w:tcPr>
            <w:tcW w:type="dxa" w:w="3341"/>
            <w:vAlign w:val="center"/>
          </w:tcPr>
          <w:p>
            <w:pPr>
              <w:spacing w:after="20"/>
            </w:pPr>
            <w:r>
              <w:rPr>
                <w:sz w:val="16"/>
              </w:rPr>
              <w:t>Manual applicability and version lock</w:t>
            </w:r>
          </w:p>
        </w:tc>
        <w:tc>
          <w:tcPr>
            <w:tcW w:type="dxa" w:w="3341"/>
            <w:vAlign w:val="center"/>
          </w:tcPr>
          <w:p>
            <w:pPr>
              <w:spacing w:after="20"/>
            </w:pPr>
            <w:r>
              <w:t>Confirmed Himalayan BS6 selection and exact immutable manual metadata are visible; follow owner applicability policy without inventing a model-year requirement</w:t>
            </w:r>
          </w:p>
        </w:tc>
      </w:tr>
      <w:tr>
        <w:trPr>
          <w:cantSplit/>
        </w:trPr>
        <w:tc>
          <w:tcPr>
            <w:tcW w:type="dxa" w:w="3341"/>
            <w:vAlign w:val="center"/>
            <w:shd w:fill="F3F6FA"/>
          </w:tcPr>
          <w:p>
            <w:pPr>
              <w:spacing w:after="20"/>
            </w:pPr>
            <w:r>
              <w:rPr>
                <w:sz w:val="16"/>
              </w:rPr>
              <w:t>FR-02 / P0</w:t>
            </w:r>
          </w:p>
        </w:tc>
        <w:tc>
          <w:tcPr>
            <w:tcW w:type="dxa" w:w="3341"/>
            <w:vAlign w:val="center"/>
            <w:shd w:fill="F3F6FA"/>
          </w:tcPr>
          <w:p>
            <w:pPr>
              <w:spacing w:after="20"/>
            </w:pPr>
            <w:r>
              <w:rPr>
                <w:sz w:val="16"/>
              </w:rPr>
              <w:t>Text symptom input</w:t>
            </w:r>
          </w:p>
        </w:tc>
        <w:tc>
          <w:tcPr>
            <w:tcW w:type="dxa" w:w="3341"/>
            <w:vAlign w:val="center"/>
            <w:shd w:fill="F3F6FA"/>
          </w:tcPr>
          <w:p>
            <w:pPr>
              <w:spacing w:after="20"/>
            </w:pPr>
            <w:r>
              <w:rPr>
                <w:sz w:val="16"/>
              </w:rPr>
              <w:t>Free-text query returns supported answer, clarification or documented abstention</w:t>
            </w:r>
          </w:p>
        </w:tc>
      </w:tr>
      <w:tr>
        <w:trPr>
          <w:cantSplit/>
        </w:trPr>
        <w:tc>
          <w:tcPr>
            <w:tcW w:type="dxa" w:w="3341"/>
            <w:vAlign w:val="center"/>
          </w:tcPr>
          <w:p>
            <w:pPr>
              <w:spacing w:after="20"/>
            </w:pPr>
            <w:r>
              <w:rPr>
                <w:sz w:val="16"/>
              </w:rPr>
              <w:t>FR-03 / P0</w:t>
            </w:r>
          </w:p>
        </w:tc>
        <w:tc>
          <w:tcPr>
            <w:tcW w:type="dxa" w:w="3341"/>
            <w:vAlign w:val="center"/>
          </w:tcPr>
          <w:p>
            <w:pPr>
              <w:spacing w:after="20"/>
            </w:pPr>
            <w:r>
              <w:rPr>
                <w:sz w:val="16"/>
              </w:rPr>
              <w:t>Photo symptom input</w:t>
            </w:r>
          </w:p>
        </w:tc>
        <w:tc>
          <w:tcPr>
            <w:tcW w:type="dxa" w:w="3341"/>
            <w:vAlign w:val="center"/>
          </w:tcPr>
          <w:p>
            <w:pPr>
              <w:spacing w:after="20"/>
            </w:pPr>
            <w:r>
              <w:rPr>
                <w:sz w:val="16"/>
              </w:rPr>
              <w:t>Vision extracts visible observations and uncertainty; technical advice remains grounded in manual</w:t>
            </w:r>
          </w:p>
        </w:tc>
      </w:tr>
      <w:tr>
        <w:trPr>
          <w:cantSplit/>
        </w:trPr>
        <w:tc>
          <w:tcPr>
            <w:tcW w:type="dxa" w:w="3341"/>
            <w:vAlign w:val="center"/>
            <w:shd w:fill="F3F6FA"/>
          </w:tcPr>
          <w:p>
            <w:pPr>
              <w:spacing w:after="20"/>
            </w:pPr>
            <w:r>
              <w:rPr>
                <w:sz w:val="16"/>
              </w:rPr>
              <w:t>FR-04 / P0</w:t>
            </w:r>
          </w:p>
        </w:tc>
        <w:tc>
          <w:tcPr>
            <w:tcW w:type="dxa" w:w="3341"/>
            <w:vAlign w:val="center"/>
            <w:shd w:fill="F3F6FA"/>
          </w:tcPr>
          <w:p>
            <w:pPr>
              <w:spacing w:after="20"/>
            </w:pPr>
            <w:r>
              <w:rPr>
                <w:sz w:val="16"/>
              </w:rPr>
              <w:t>Evidence-linked answers</w:t>
            </w:r>
          </w:p>
        </w:tc>
        <w:tc>
          <w:tcPr>
            <w:tcW w:type="dxa" w:w="3341"/>
            <w:vAlign w:val="center"/>
            <w:shd w:fill="F3F6FA"/>
          </w:tcPr>
          <w:p>
            <w:pPr>
              <w:spacing w:after="20"/>
            </w:pPr>
            <w:r>
              <w:rPr>
                <w:sz w:val="16"/>
              </w:rPr>
              <w:t>Each technical instruction has a validated source page and applicable warning/prerequisite</w:t>
            </w:r>
          </w:p>
        </w:tc>
      </w:tr>
      <w:tr>
        <w:trPr>
          <w:cantSplit/>
        </w:trPr>
        <w:tc>
          <w:tcPr>
            <w:tcW w:type="dxa" w:w="3341"/>
            <w:vAlign w:val="center"/>
          </w:tcPr>
          <w:p>
            <w:pPr>
              <w:spacing w:after="20"/>
            </w:pPr>
            <w:r>
              <w:rPr>
                <w:sz w:val="16"/>
              </w:rPr>
              <w:t>FR-05 / P0</w:t>
            </w:r>
          </w:p>
        </w:tc>
        <w:tc>
          <w:tcPr>
            <w:tcW w:type="dxa" w:w="3341"/>
            <w:vAlign w:val="center"/>
          </w:tcPr>
          <w:p>
            <w:pPr>
              <w:spacing w:after="20"/>
            </w:pPr>
            <w:r>
              <w:rPr>
                <w:sz w:val="16"/>
              </w:rPr>
              <w:t>Fail-closed abstention</w:t>
            </w:r>
          </w:p>
        </w:tc>
        <w:tc>
          <w:tcPr>
            <w:tcW w:type="dxa" w:w="3341"/>
            <w:vAlign w:val="center"/>
          </w:tcPr>
          <w:p>
            <w:pPr>
              <w:spacing w:after="20"/>
            </w:pPr>
            <w:r>
              <w:rPr>
                <w:sz w:val="16"/>
              </w:rPr>
              <w:t>No supported evidence =&gt; no repair step; point to verified OEM support route</w:t>
            </w:r>
          </w:p>
        </w:tc>
      </w:tr>
      <w:tr>
        <w:trPr>
          <w:cantSplit/>
        </w:trPr>
        <w:tc>
          <w:tcPr>
            <w:tcW w:type="dxa" w:w="3341"/>
            <w:vAlign w:val="center"/>
            <w:shd w:fill="F3F6FA"/>
          </w:tcPr>
          <w:p>
            <w:pPr>
              <w:spacing w:after="20"/>
            </w:pPr>
            <w:r>
              <w:rPr>
                <w:sz w:val="16"/>
              </w:rPr>
              <w:t>FR-06 / P0</w:t>
            </w:r>
          </w:p>
        </w:tc>
        <w:tc>
          <w:tcPr>
            <w:tcW w:type="dxa" w:w="3341"/>
            <w:vAlign w:val="center"/>
            <w:shd w:fill="F3F6FA"/>
          </w:tcPr>
          <w:p>
            <w:pPr>
              <w:spacing w:after="20"/>
            </w:pPr>
            <w:r>
              <w:rPr>
                <w:sz w:val="16"/>
              </w:rPr>
              <w:t>One-question clarification</w:t>
            </w:r>
          </w:p>
        </w:tc>
        <w:tc>
          <w:tcPr>
            <w:tcW w:type="dxa" w:w="3341"/>
            <w:vAlign w:val="center"/>
            <w:shd w:fill="F3F6FA"/>
          </w:tcPr>
          <w:p>
            <w:pPr>
              <w:spacing w:after="20"/>
            </w:pPr>
            <w:r>
              <w:t>Ask only the focused rider-resolvable clarification needed to answer the actual question; no branch selection required</w:t>
            </w:r>
          </w:p>
        </w:tc>
      </w:tr>
      <w:tr>
        <w:trPr>
          <w:cantSplit/>
        </w:trPr>
        <w:tc>
          <w:tcPr>
            <w:tcW w:type="dxa" w:w="3341"/>
            <w:vAlign w:val="center"/>
          </w:tcPr>
          <w:p>
            <w:pPr>
              <w:spacing w:after="20"/>
            </w:pPr>
            <w:r>
              <w:rPr>
                <w:sz w:val="16"/>
              </w:rPr>
              <w:t>FR-07 / P0</w:t>
            </w:r>
          </w:p>
        </w:tc>
        <w:tc>
          <w:tcPr>
            <w:tcW w:type="dxa" w:w="3341"/>
            <w:vAlign w:val="center"/>
          </w:tcPr>
          <w:p>
            <w:pPr>
              <w:spacing w:after="20"/>
            </w:pPr>
            <w:r>
              <w:t>Relevant history and optional guided troubleshooting</w:t>
            </w:r>
          </w:p>
        </w:tc>
        <w:tc>
          <w:tcPr>
            <w:tcW w:type="dxa" w:w="3341"/>
            <w:vAlign w:val="center"/>
          </w:tcPr>
          <w:p>
            <w:pPr>
              <w:spacing w:after="20"/>
            </w:pPr>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tc>
      </w:tr>
      <w:tr>
        <w:trPr>
          <w:cantSplit/>
        </w:trPr>
        <w:tc>
          <w:tcPr>
            <w:tcW w:type="dxa" w:w="3341"/>
            <w:vAlign w:val="center"/>
            <w:shd w:fill="F3F6FA"/>
          </w:tcPr>
          <w:p>
            <w:pPr>
              <w:spacing w:after="20"/>
            </w:pPr>
            <w:r>
              <w:rPr>
                <w:sz w:val="16"/>
              </w:rPr>
              <w:t>FR-08 / P0</w:t>
            </w:r>
          </w:p>
        </w:tc>
        <w:tc>
          <w:tcPr>
            <w:tcW w:type="dxa" w:w="3341"/>
            <w:vAlign w:val="center"/>
            <w:shd w:fill="F3F6FA"/>
          </w:tcPr>
          <w:p>
            <w:pPr>
              <w:spacing w:after="20"/>
            </w:pPr>
            <w:r>
              <w:rPr>
                <w:sz w:val="16"/>
              </w:rPr>
              <w:t>Session continuity</w:t>
            </w:r>
          </w:p>
        </w:tc>
        <w:tc>
          <w:tcPr>
            <w:tcW w:type="dxa" w:w="3341"/>
            <w:vAlign w:val="center"/>
            <w:shd w:fill="F3F6FA"/>
          </w:tcPr>
          <w:p>
            <w:pPr>
              <w:spacing w:after="20"/>
            </w:pPr>
            <w:r>
              <w:rPr>
                <w:sz w:val="16"/>
              </w:rPr>
              <w:t>Follow-up “it didn’t fix it” preserves prior steps in current browser session</w:t>
            </w:r>
          </w:p>
        </w:tc>
      </w:tr>
      <w:tr>
        <w:trPr>
          <w:cantSplit/>
        </w:trPr>
        <w:tc>
          <w:tcPr>
            <w:tcW w:type="dxa" w:w="3341"/>
            <w:vAlign w:val="center"/>
          </w:tcPr>
          <w:p>
            <w:r>
              <w:rPr>
                <w:sz w:val="16"/>
              </w:rPr>
              <w:t>FR-09 / P0</w:t>
            </w:r>
          </w:p>
        </w:tc>
        <w:tc>
          <w:tcPr>
            <w:tcW w:type="dxa" w:w="3341"/>
            <w:vAlign w:val="center"/>
          </w:tcPr>
          <w:p>
            <w:r>
              <w:rPr>
                <w:sz w:val="16"/>
              </w:rPr>
              <w:t>Safety and prerequisite policy</w:t>
            </w:r>
          </w:p>
        </w:tc>
        <w:tc>
          <w:tcPr>
            <w:tcW w:type="dxa" w:w="3341"/>
            <w:vAlign w:val="center"/>
          </w:tcPr>
          <w:p>
            <w:r>
              <w:rPr>
                <w:sz w:val="16"/>
              </w:rPr>
              <w:t>Known applicable stop retains its verified warning; rider-resolvable facts clarify; source gaps block; operational failures return SYSTEM_ERROR</w:t>
            </w:r>
          </w:p>
        </w:tc>
      </w:tr>
      <w:tr>
        <w:trPr>
          <w:cantSplit/>
        </w:trPr>
        <w:tc>
          <w:tcPr>
            <w:tcW w:type="dxa" w:w="3341"/>
            <w:vAlign w:val="center"/>
            <w:shd w:fill="F3F6FA"/>
          </w:tcPr>
          <w:p>
            <w:pPr>
              <w:spacing w:after="20"/>
            </w:pPr>
            <w:r>
              <w:rPr>
                <w:sz w:val="16"/>
              </w:rPr>
              <w:t>FR-10 / P0</w:t>
            </w:r>
          </w:p>
        </w:tc>
        <w:tc>
          <w:tcPr>
            <w:tcW w:type="dxa" w:w="3341"/>
            <w:vAlign w:val="center"/>
            <w:shd w:fill="F3F6FA"/>
          </w:tcPr>
          <w:p>
            <w:pPr>
              <w:spacing w:after="20"/>
            </w:pPr>
            <w:r>
              <w:rPr>
                <w:sz w:val="16"/>
              </w:rPr>
              <w:t>Manual evidence access</w:t>
            </w:r>
          </w:p>
        </w:tc>
        <w:tc>
          <w:tcPr>
            <w:tcW w:type="dxa" w:w="3341"/>
            <w:vAlign w:val="center"/>
            <w:shd w:fill="F3F6FA"/>
          </w:tcPr>
          <w:p>
            <w:pPr>
              <w:spacing w:after="20"/>
            </w:pPr>
            <w:r>
              <w:t>Show immutable evidence ID and server-derived page metadata; rider PDF, excerpt and figure-crop delivery remains prohibited</w:t>
            </w:r>
          </w:p>
        </w:tc>
      </w:tr>
      <w:tr>
        <w:trPr>
          <w:cantSplit/>
        </w:trPr>
        <w:tc>
          <w:tcPr>
            <w:tcW w:type="dxa" w:w="3341"/>
            <w:vAlign w:val="center"/>
          </w:tcPr>
          <w:p>
            <w:pPr>
              <w:spacing w:after="20"/>
            </w:pPr>
            <w:r>
              <w:rPr>
                <w:sz w:val="16"/>
              </w:rPr>
              <w:t>FR-11 / P0</w:t>
            </w:r>
          </w:p>
        </w:tc>
        <w:tc>
          <w:tcPr>
            <w:tcW w:type="dxa" w:w="3341"/>
            <w:vAlign w:val="center"/>
          </w:tcPr>
          <w:p>
            <w:pPr>
              <w:spacing w:after="20"/>
            </w:pPr>
            <w:r>
              <w:rPr>
                <w:sz w:val="16"/>
              </w:rPr>
              <w:t>Shareable web demo</w:t>
            </w:r>
          </w:p>
        </w:tc>
        <w:tc>
          <w:tcPr>
            <w:tcW w:type="dxa" w:w="3341"/>
            <w:vAlign w:val="center"/>
          </w:tcPr>
          <w:p>
            <w:pPr>
              <w:spacing w:after="20"/>
            </w:pPr>
            <w:r>
              <w:rPr>
                <w:sz w:val="16"/>
              </w:rPr>
              <w:t>Accessible at an externally reachable URL with example scenarios</w:t>
            </w:r>
          </w:p>
        </w:tc>
      </w:tr>
      <w:tr>
        <w:trPr>
          <w:cantSplit/>
        </w:trPr>
        <w:tc>
          <w:tcPr>
            <w:tcW w:type="dxa" w:w="3341"/>
            <w:vAlign w:val="center"/>
            <w:shd w:fill="F3F6FA"/>
          </w:tcPr>
          <w:p>
            <w:pPr>
              <w:spacing w:after="20"/>
            </w:pPr>
            <w:r>
              <w:rPr>
                <w:sz w:val="16"/>
              </w:rPr>
              <w:t>FR-12 / P1</w:t>
            </w:r>
          </w:p>
        </w:tc>
        <w:tc>
          <w:tcPr>
            <w:tcW w:type="dxa" w:w="3341"/>
            <w:vAlign w:val="center"/>
            <w:shd w:fill="F3F6FA"/>
          </w:tcPr>
          <w:p>
            <w:pPr>
              <w:spacing w:after="20"/>
            </w:pPr>
            <w:r>
              <w:rPr>
                <w:sz w:val="16"/>
              </w:rPr>
              <w:t>Optional voice-to-text</w:t>
            </w:r>
          </w:p>
        </w:tc>
        <w:tc>
          <w:tcPr>
            <w:tcW w:type="dxa" w:w="3341"/>
            <w:vAlign w:val="center"/>
            <w:shd w:fill="F3F6FA"/>
          </w:tcPr>
          <w:p>
            <w:pPr>
              <w:spacing w:after="20"/>
            </w:pPr>
            <w:r>
              <w:rPr>
                <w:sz w:val="16"/>
              </w:rPr>
              <w:t>Speech transcript displayed/confirmed before applying standard RAG path</w:t>
            </w:r>
          </w:p>
        </w:tc>
      </w:tr>
      <w:tr>
        <w:trPr>
          <w:cantSplit/>
        </w:trPr>
        <w:tc>
          <w:tcPr>
            <w:tcW w:type="dxa" w:w="3341"/>
            <w:vAlign w:val="center"/>
          </w:tcPr>
          <w:p>
            <w:r>
              <w:rPr>
                <w:sz w:val="16"/>
              </w:rPr>
              <w:t>FR-13 / P0</w:t>
            </w:r>
          </w:p>
        </w:tc>
        <w:tc>
          <w:tcPr>
            <w:tcW w:type="dxa" w:w="3341"/>
            <w:vAlign w:val="center"/>
          </w:tcPr>
          <w:p>
            <w:r>
              <w:rPr>
                <w:sz w:val="16"/>
              </w:rPr>
              <w:t>Correction and backtracking</w:t>
            </w:r>
          </w:p>
        </w:tc>
        <w:tc>
          <w:tcPr>
            <w:tcW w:type="dxa" w:w="3341"/>
            <w:vAlign w:val="center"/>
          </w:tcPr>
          <w:p>
            <w:r>
              <w:rPr>
                <w:sz w:val="16"/>
              </w:rPr>
              <w:t>Corrections supersede immutable observations and re-evaluate branches; repetition requires a documented exception and explanation</w:t>
            </w:r>
          </w:p>
        </w:tc>
      </w:tr>
      <w:tr>
        <w:trPr>
          <w:cantSplit/>
        </w:trPr>
        <w:tc>
          <w:tcPr>
            <w:tcW w:type="dxa" w:w="3341"/>
            <w:vAlign w:val="center"/>
            <w:shd w:fill="F3F6FA"/>
          </w:tcPr>
          <w:p>
            <w:pPr>
              <w:spacing w:after="20"/>
            </w:pPr>
            <w:r>
              <w:rPr>
                <w:sz w:val="16"/>
              </w:rPr>
              <w:t>FR-14 / P1</w:t>
            </w:r>
          </w:p>
        </w:tc>
        <w:tc>
          <w:tcPr>
            <w:tcW w:type="dxa" w:w="3341"/>
            <w:vAlign w:val="center"/>
            <w:shd w:fill="F3F6FA"/>
          </w:tcPr>
          <w:p>
            <w:pPr>
              <w:spacing w:after="20"/>
            </w:pPr>
            <w:r>
              <w:rPr>
                <w:sz w:val="16"/>
              </w:rPr>
              <w:t>Diagnostic summary for OEM</w:t>
            </w:r>
          </w:p>
        </w:tc>
        <w:tc>
          <w:tcPr>
            <w:tcW w:type="dxa" w:w="3341"/>
            <w:vAlign w:val="center"/>
            <w:shd w:fill="F3F6FA"/>
          </w:tcPr>
          <w:p>
            <w:pPr>
              <w:spacing w:after="20"/>
            </w:pPr>
            <w:r>
              <w:rPr>
                <w:sz w:val="16"/>
              </w:rPr>
              <w:t>Copyable summary includes symptoms, documented checks, observations and manual version</w:t>
            </w:r>
          </w:p>
        </w:tc>
      </w:tr>
      <w:tr>
        <w:trPr>
          <w:cantSplit/>
        </w:trPr>
        <w:tc>
          <w:tcPr>
            <w:tcW w:type="dxa" w:w="3341"/>
            <w:vAlign w:val="center"/>
          </w:tcPr>
          <w:p>
            <w:pPr>
              <w:spacing w:after="20"/>
            </w:pPr>
            <w:r>
              <w:rPr>
                <w:sz w:val="16"/>
              </w:rPr>
              <w:t>FR-15 / P1</w:t>
            </w:r>
          </w:p>
        </w:tc>
        <w:tc>
          <w:tcPr>
            <w:tcW w:type="dxa" w:w="3341"/>
            <w:vAlign w:val="center"/>
          </w:tcPr>
          <w:p>
            <w:pPr>
              <w:spacing w:after="20"/>
            </w:pPr>
            <w:r>
              <w:rPr>
                <w:sz w:val="16"/>
              </w:rPr>
              <w:t>Anonymous feedback</w:t>
            </w:r>
          </w:p>
        </w:tc>
        <w:tc>
          <w:tcPr>
            <w:tcW w:type="dxa" w:w="3341"/>
            <w:vAlign w:val="center"/>
          </w:tcPr>
          <w:p>
            <w:pPr>
              <w:spacing w:after="20"/>
            </w:pPr>
            <w:r>
              <w:rPr>
                <w:sz w:val="16"/>
              </w:rPr>
              <w:t>Optional useful/not useful feedback with non-sensitive trace reference</w:t>
            </w:r>
          </w:p>
        </w:tc>
      </w:tr>
      <w:tr>
        <w:tc>
          <w:tcPr>
            <w:tcW w:type="dxa" w:w="3341"/>
          </w:tcPr>
          <w:p>
            <w:r>
              <w:rPr>
                <w:sz w:val="16"/>
              </w:rPr>
              <w:t>FR-16 / P0</w:t>
            </w:r>
          </w:p>
        </w:tc>
        <w:tc>
          <w:tcPr>
            <w:tcW w:type="dxa" w:w="3341"/>
          </w:tcPr>
          <w:p>
            <w:r>
              <w:t>Source-derived conditions and warnings</w:t>
            </w:r>
          </w:p>
        </w:tc>
        <w:tc>
          <w:tcPr>
            <w:tcW w:type="dxa" w:w="3341"/>
          </w:tcPr>
          <w:p>
            <w:r>
              <w:t>No universal StepDefinition gate; handle applicable prerequisites in the answer and verify them against source and history</w:t>
            </w:r>
          </w:p>
        </w:tc>
      </w:tr>
      <w:tr>
        <w:tc>
          <w:tcPr>
            <w:tcW w:type="dxa" w:w="3341"/>
          </w:tcPr>
          <w:p>
            <w:r>
              <w:rPr>
                <w:sz w:val="16"/>
              </w:rPr>
              <w:t>FR-17 / P0</w:t>
            </w:r>
          </w:p>
        </w:tc>
        <w:tc>
          <w:tcPr>
            <w:tcW w:type="dxa" w:w="3341"/>
          </w:tcPr>
          <w:p>
            <w:r>
              <w:rPr>
                <w:sz w:val="16"/>
              </w:rPr>
              <w:t>Complete reviewed evidence</w:t>
            </w:r>
          </w:p>
        </w:tc>
        <w:tc>
          <w:tcPr>
            <w:tcW w:type="dxa" w:w="3341"/>
          </w:tcPr>
          <w:p>
            <w:r>
              <w:t>Reviewed source context, required warnings/prerequisites, units, headers and references; no authored answer-scope gate</w:t>
            </w:r>
          </w:p>
        </w:tc>
      </w:tr>
      <w:tr>
        <w:tc>
          <w:tcPr>
            <w:tcW w:type="dxa" w:w="3341"/>
          </w:tcPr>
          <w:p>
            <w:r>
              <w:rPr>
                <w:sz w:val="16"/>
              </w:rPr>
              <w:t>FR-18 / P0</w:t>
            </w:r>
          </w:p>
        </w:tc>
        <w:tc>
          <w:tcPr>
            <w:tcW w:type="dxa" w:w="3341"/>
          </w:tcPr>
          <w:p>
            <w:r>
              <w:rPr>
                <w:sz w:val="16"/>
              </w:rPr>
              <w:t>Bounded retrieval policy</w:t>
            </w:r>
          </w:p>
        </w:tc>
        <w:tc>
          <w:tcPr>
            <w:tcW w:type="dxa" w:w="3341"/>
          </w:tcPr>
          <w:p>
            <w:r>
              <w:rPr>
                <w:sz w:val="16"/>
              </w:rPr>
              <w:t>One approved dependency recovery and one conditional rerank; no rerank for missing review; mandatory evidence retained</w:t>
            </w:r>
          </w:p>
        </w:tc>
      </w:tr>
      <w:tr>
        <w:tc>
          <w:tcPr>
            <w:tcW w:type="dxa" w:w="3341"/>
          </w:tcPr>
          <w:p>
            <w:r>
              <w:rPr>
                <w:sz w:val="16"/>
              </w:rPr>
              <w:t>FR-19 / P0</w:t>
            </w:r>
          </w:p>
        </w:tc>
        <w:tc>
          <w:tcPr>
            <w:tcW w:type="dxa" w:w="3341"/>
          </w:tcPr>
          <w:p>
            <w:r>
              <w:rPr>
                <w:sz w:val="16"/>
              </w:rPr>
              <w:t>Final response contract</w:t>
            </w:r>
          </w:p>
        </w:tc>
        <w:tc>
          <w:tcPr>
            <w:tcW w:type="dxa" w:w="3341"/>
          </w:tcPr>
          <w:p>
            <w:r>
              <w:rPr>
                <w:sz w:val="16"/>
              </w:rPr>
              <w:t>Use SUPPORTED, AMBIGUOUS, UNSUPPORTED, SAFETY_STOP, SYSTEM_ERROR; validate every technical claim before release</w:t>
            </w:r>
          </w:p>
        </w:tc>
      </w:tr>
      <w:tr>
        <w:tc>
          <w:tcPr>
            <w:tcW w:type="dxa" w:w="3341"/>
          </w:tcPr>
          <w:p>
            <w:r>
              <w:rPr>
                <w:sz w:val="16"/>
              </w:rPr>
              <w:t>FR-20 / P0</w:t>
            </w:r>
          </w:p>
        </w:tc>
        <w:tc>
          <w:tcPr>
            <w:tcW w:type="dxa" w:w="3341"/>
          </w:tcPr>
          <w:p>
            <w:r>
              <w:t>Verification and cache controls</w:t>
            </w:r>
          </w:p>
        </w:tc>
        <w:tc>
          <w:tcPr>
            <w:tcW w:type="dxa" w:w="3341"/>
          </w:tcPr>
          <w:p>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tc>
      </w:tr>
      <w:tr>
        <w:tc>
          <w:tcPr>
            <w:tcW w:type="dxa" w:w="3341"/>
          </w:tcPr>
          <w:p>
            <w:r>
              <w:rPr>
                <w:sz w:val="16"/>
              </w:rPr>
              <w:t>FR-21 / P0</w:t>
            </w:r>
          </w:p>
        </w:tc>
        <w:tc>
          <w:tcPr>
            <w:tcW w:type="dxa" w:w="3341"/>
          </w:tcPr>
          <w:p>
            <w:r>
              <w:rPr>
                <w:sz w:val="16"/>
              </w:rPr>
              <w:t>Hosted operations and limits</w:t>
            </w:r>
          </w:p>
        </w:tc>
        <w:tc>
          <w:tcPr>
            <w:tcW w:type="dxa" w:w="3341"/>
          </w:tcPr>
          <w:p>
            <w:r>
              <w:rPr>
                <w:sz w:val="16"/>
              </w:rPr>
              <w:t>Prebuilt index reused; server secrets; upload/rate/spend limits; redacted versioned traces</w:t>
            </w:r>
          </w:p>
        </w:tc>
      </w:tr>
      <w:tr>
        <w:tc>
          <w:tcPr>
            <w:tcW w:type="dxa" w:w="3341"/>
          </w:tcPr>
          <w:p>
            <w:r>
              <w:t>FR-22 / P0</w:t>
            </w:r>
          </w:p>
        </w:tc>
        <w:tc>
          <w:tcPr>
            <w:tcW w:type="dxa" w:w="3341"/>
          </w:tcPr>
          <w:p>
            <w:r>
              <w:t>Private complete draft</w:t>
            </w:r>
          </w:p>
        </w:tc>
        <w:tc>
          <w:tcPr>
            <w:tcW w:type="dxa" w:w="3341"/>
          </w:tcPr>
          <w:p>
            <w:r>
              <w:t>Actual question, relevant history and complete assembled applicable evidence; no assess-first LLM call and no private token leakage</w:t>
            </w:r>
          </w:p>
        </w:tc>
      </w:tr>
      <w:tr>
        <w:tc>
          <w:tcPr>
            <w:tcW w:type="dxa" w:w="3341"/>
          </w:tcPr>
          <w:p>
            <w:r>
              <w:t>FR-23 / P0</w:t>
            </w:r>
          </w:p>
        </w:tc>
        <w:tc>
          <w:tcPr>
            <w:tcW w:type="dxa" w:w="3341"/>
          </w:tcPr>
          <w:p>
            <w:r>
              <w:t>Separate semantic verification</w:t>
            </w:r>
          </w:p>
        </w:tc>
        <w:tc>
          <w:tcPr>
            <w:tcW w:type="dxa" w:w="3341"/>
          </w:tcPr>
          <w:p>
            <w:r>
              <w:t>Bound decision RELEASE_COMPLETE, RELEASE_PARTIAL or SHOW_FALLBACK; verify question coverage and every technical claim. Special decisions RELEASE_CLARIFICATION/RELEASE_SAFETY_STOP preserve AMBIGUOUS/SAFETY_STOP; valid citations alone are insufficient</w:t>
            </w:r>
          </w:p>
        </w:tc>
      </w:tr>
      <w:tr>
        <w:tc>
          <w:tcPr>
            <w:tcW w:type="dxa" w:w="3341"/>
          </w:tcPr>
          <w:p>
            <w:r>
              <w:t>FR-24 / P0</w:t>
            </w:r>
          </w:p>
        </w:tc>
        <w:tc>
          <w:tcPr>
            <w:tcW w:type="dxa" w:w="3341"/>
          </w:tcPr>
          <w:p>
            <w:r>
              <w:t>Bounded correction</w:t>
            </w:r>
          </w:p>
        </w:tc>
        <w:tc>
          <w:tcPr>
            <w:tcW w:type="dxa" w:w="3341"/>
          </w:tcPr>
          <w:p>
            <w:r>
              <w:t>Include partial limitation before verification. At most one evidence-supported correction followed by re-verification; otherwise SHOW_FALLBACK. Operational failure is SYSTEM_ERROR</w:t>
            </w:r>
          </w:p>
        </w:tc>
      </w:tr>
      <w:tr>
        <w:tc>
          <w:tcPr>
            <w:tcW w:type="dxa" w:w="3341"/>
          </w:tcPr>
          <w:p>
            <w:r>
              <w:t>FR-25 / P0</w:t>
            </w:r>
          </w:p>
        </w:tc>
        <w:tc>
          <w:tcPr>
            <w:tcW w:type="dxa" w:w="3341"/>
          </w:tcPr>
          <w:p>
            <w:r>
              <w:t>Truthful progress and buffered delivery</w:t>
            </w:r>
          </w:p>
        </w:tc>
        <w:tc>
          <w:tcPr>
            <w:tcW w:type="dxa" w:w="3341"/>
          </w:tcPr>
          <w:p>
            <w:r>
              <w:t>Backend stage events only; technical release after verification/integrity/save; exact saved stream and recovery. Fixed neutral fallback/error messages need no LLM success</w:t>
            </w:r>
          </w:p>
        </w:tc>
      </w:tr>
      <w:tr>
        <w:tc>
          <w:tcPr>
            <w:tcW w:type="dxa" w:w="3341"/>
          </w:tcPr>
          <w:p>
            <w:r>
              <w:t>FR-26 / P0</w:t>
            </w:r>
          </w:p>
        </w:tc>
        <w:tc>
          <w:tcPr>
            <w:tcW w:type="dxa" w:w="3341"/>
          </w:tcPr>
          <w:p>
            <w:r>
              <w:t>Independent acceptance</w:t>
            </w:r>
          </w:p>
        </w:tc>
        <w:tc>
          <w:tcPr>
            <w:tcW w:type="dxa" w:w="3341"/>
          </w:tcPr>
          <w:p>
            <w:r>
              <w:t>Unseen rider questions, supported partial answers, false verifier acceptance/refusal, no leakage and accepted/streamed/recovered equality</w:t>
            </w:r>
          </w:p>
        </w:tc>
      </w:tr>
      <w:tr>
        <w:tc>
          <w:tcPr>
            <w:tcW w:type="dxa" w:w="3341"/>
          </w:tcPr>
          <w:p>
            <w:r>
              <w:t>FR-27 / P0</w:t>
            </w:r>
          </w:p>
        </w:tc>
        <w:tc>
          <w:tcPr>
            <w:tcW w:type="dxa" w:w="3341"/>
          </w:tcPr>
          <w:p>
            <w:r>
              <w:t>Fixed neutral fallback and operational error</w:t>
            </w:r>
          </w:p>
        </w:tc>
        <w:tc>
          <w:tcPr>
            <w:tcW w:type="dxa" w:w="3341"/>
          </w:tcPr>
          <w:p>
            <w:r>
              <w:t>For SHOW_FALLBACK, display this exact fixed application message: I couldn’t find relevant information in the selected manual to answer your question. Please contact Royal Enfield or an authorised service centre. Attach the verified OEM contact URI from source_manifest.json, preserving its manifest binding. Record the exact internal reason code IRRELEVANT_ANSWER, MISSING_SUPPORT or CORRECTION_UNSUCCESSFUL. Preserve specific provider, schema and source-integrity failure reason codes in telemetry while displaying the fixed neutral SYSTEM_ERROR message. This fallback is neutral application wording, not a verified technical answer. For SYSTEM_ERROR, display this exact fixed application message: I couldn’t check the answer right now. Please try again shortly. These fixed neutral messages require no successful LLM generation or verification call and remain available during provider failure. Do not expose rejected technical drafts or claim these messages received semantic technical approval. Preserve application routing, safety precedence, session ownership and saved delivery integrity.</w:t>
            </w:r>
          </w:p>
        </w:tc>
      </w:tr>
    </w:tbl>
    <w:p>
      <w:pPr>
        <w:spacing w:after="0"/>
      </w:pPr>
    </w:p>
    <w:p>
      <w:pPr>
        <w:pStyle w:val="Heading1"/>
      </w:pPr>
      <w:r>
        <w:rPr>
          <w:color w:val="000000"/>
        </w:rPr>
        <w:t>5  Conversation history and optional troubleshooting</w:t>
      </w:r>
    </w:p>
    <w:p>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trPr>
        <w:tc>
          <w:tcPr>
            <w:tcW w:type="dxa" w:w="3341"/>
            <w:shd w:fill="102238"/>
          </w:tcPr>
          <w:p>
            <w:r>
              <w:rPr>
                <w:b/>
                <w:color w:val="FFFFFF"/>
                <w:sz w:val="16"/>
              </w:rPr>
              <w:t>Outcome</w:t>
            </w:r>
          </w:p>
        </w:tc>
        <w:tc>
          <w:tcPr>
            <w:tcW w:type="dxa" w:w="3341"/>
            <w:shd w:fill="102238"/>
          </w:tcPr>
          <w:p>
            <w:r>
              <w:rPr>
                <w:b/>
                <w:color w:val="FFFFFF"/>
                <w:sz w:val="16"/>
              </w:rPr>
              <w:t>Meaning</w:t>
            </w:r>
          </w:p>
        </w:tc>
        <w:tc>
          <w:tcPr>
            <w:tcW w:type="dxa" w:w="3341"/>
            <w:shd w:fill="102238"/>
          </w:tcPr>
          <w:p>
            <w:r>
              <w:rPr>
                <w:b/>
                <w:color w:val="FFFFFF"/>
                <w:sz w:val="16"/>
              </w:rPr>
              <w:t>Required system behavior</w:t>
            </w:r>
          </w:p>
        </w:tc>
      </w:tr>
      <w:tr>
        <w:trPr>
          <w:cantSplit/>
        </w:trPr>
        <w:tc>
          <w:tcPr>
            <w:tcW w:type="dxa" w:w="3341"/>
            <w:vAlign w:val="center"/>
          </w:tcPr>
          <w:p>
            <w:pPr>
              <w:spacing w:after="20"/>
            </w:pPr>
            <w:r>
              <w:rPr>
                <w:sz w:val="16"/>
              </w:rPr>
              <w:t>NOT_TRIED</w:t>
            </w:r>
          </w:p>
        </w:tc>
        <w:tc>
          <w:tcPr>
            <w:tcW w:type="dxa" w:w="3341"/>
            <w:vAlign w:val="center"/>
          </w:tcPr>
          <w:p>
            <w:pPr>
              <w:spacing w:after="20"/>
            </w:pPr>
            <w:r>
              <w:rPr>
                <w:sz w:val="16"/>
              </w:rPr>
              <w:t>Step suggested but no response yet</w:t>
            </w:r>
          </w:p>
        </w:tc>
        <w:tc>
          <w:tcPr>
            <w:tcW w:type="dxa" w:w="3341"/>
            <w:vAlign w:val="center"/>
          </w:tcPr>
          <w:p>
            <w:pPr>
              <w:spacing w:after="20"/>
            </w:pPr>
            <w:r>
              <w:rPr>
                <w:sz w:val="16"/>
              </w:rPr>
              <w:t>Do not treat as completed</w:t>
            </w:r>
          </w:p>
        </w:tc>
      </w:tr>
      <w:tr>
        <w:trPr>
          <w:cantSplit/>
        </w:trPr>
        <w:tc>
          <w:tcPr>
            <w:tcW w:type="dxa" w:w="3341"/>
            <w:vAlign w:val="center"/>
            <w:shd w:fill="F3F6FA"/>
          </w:tcPr>
          <w:p>
            <w:r>
              <w:rPr>
                <w:sz w:val="16"/>
              </w:rPr>
              <w:t>OBSERVED_NORMAL</w:t>
            </w:r>
          </w:p>
        </w:tc>
        <w:tc>
          <w:tcPr>
            <w:tcW w:type="dxa" w:w="3341"/>
            <w:vAlign w:val="center"/>
            <w:shd w:fill="F3F6FA"/>
          </w:tcPr>
          <w:p>
            <w:r>
              <w:rPr>
                <w:sz w:val="16"/>
              </w:rPr>
              <w:t>A specific tested condition was reported normal</w:t>
            </w:r>
          </w:p>
        </w:tc>
        <w:tc>
          <w:tcPr>
            <w:tcW w:type="dxa" w:w="3341"/>
            <w:vAlign w:val="center"/>
            <w:shd w:fill="F3F6FA"/>
          </w:tcPr>
          <w:p>
            <w:r>
              <w:rPr>
                <w:sz w:val="16"/>
              </w:rPr>
              <w:t>Exclude only the documented branch contradicted by an approved predicate; never infer complete system health</w:t>
            </w:r>
          </w:p>
        </w:tc>
      </w:tr>
      <w:tr>
        <w:trPr>
          <w:cantSplit/>
        </w:trPr>
        <w:tc>
          <w:tcPr>
            <w:tcW w:type="dxa" w:w="3341"/>
            <w:vAlign w:val="center"/>
          </w:tcPr>
          <w:p>
            <w:pPr>
              <w:spacing w:after="20"/>
            </w:pPr>
            <w:r>
              <w:rPr>
                <w:sz w:val="16"/>
              </w:rPr>
              <w:t>OBSERVED_ABNORMAL</w:t>
            </w:r>
          </w:p>
        </w:tc>
        <w:tc>
          <w:tcPr>
            <w:tcW w:type="dxa" w:w="3341"/>
            <w:vAlign w:val="center"/>
          </w:tcPr>
          <w:p>
            <w:pPr>
              <w:spacing w:after="20"/>
            </w:pPr>
            <w:r>
              <w:rPr>
                <w:sz w:val="16"/>
              </w:rPr>
              <w:t>User confirms documented abnormal condition</w:t>
            </w:r>
          </w:p>
        </w:tc>
        <w:tc>
          <w:tcPr>
            <w:tcW w:type="dxa" w:w="3341"/>
            <w:vAlign w:val="center"/>
          </w:tcPr>
          <w:p>
            <w:pPr>
              <w:spacing w:after="20"/>
            </w:pPr>
            <w:r>
              <w:rPr>
                <w:sz w:val="16"/>
              </w:rPr>
              <w:t>Proceed to exact corresponding documented procedure or escalate</w:t>
            </w:r>
          </w:p>
        </w:tc>
      </w:tr>
      <w:tr>
        <w:trPr>
          <w:cantSplit/>
        </w:trPr>
        <w:tc>
          <w:tcPr>
            <w:tcW w:type="dxa" w:w="3341"/>
            <w:vAlign w:val="center"/>
            <w:shd w:fill="F3F6FA"/>
          </w:tcPr>
          <w:p>
            <w:pPr>
              <w:spacing w:after="20"/>
            </w:pPr>
            <w:r>
              <w:rPr>
                <w:sz w:val="16"/>
              </w:rPr>
              <w:t>ACTION_COMPLETED_UNRESOLVED</w:t>
            </w:r>
          </w:p>
        </w:tc>
        <w:tc>
          <w:tcPr>
            <w:tcW w:type="dxa" w:w="3341"/>
            <w:vAlign w:val="center"/>
            <w:shd w:fill="F3F6FA"/>
          </w:tcPr>
          <w:p>
            <w:pPr>
              <w:spacing w:after="20"/>
            </w:pPr>
            <w:r>
              <w:rPr>
                <w:sz w:val="16"/>
              </w:rPr>
              <w:t>Customer tried action; symptom persists</w:t>
            </w:r>
          </w:p>
        </w:tc>
        <w:tc>
          <w:tcPr>
            <w:tcW w:type="dxa" w:w="3341"/>
            <w:vAlign w:val="center"/>
            <w:shd w:fill="F3F6FA"/>
          </w:tcPr>
          <w:p>
            <w:pPr>
              <w:spacing w:after="20"/>
            </w:pPr>
            <w:r>
              <w:rPr>
                <w:sz w:val="16"/>
              </w:rPr>
              <w:t>Select next eligible documented step, without assuming test result</w:t>
            </w:r>
          </w:p>
        </w:tc>
      </w:tr>
      <w:tr>
        <w:trPr>
          <w:cantSplit/>
        </w:trPr>
        <w:tc>
          <w:tcPr>
            <w:tcW w:type="dxa" w:w="3341"/>
            <w:vAlign w:val="center"/>
          </w:tcPr>
          <w:p>
            <w:pPr>
              <w:spacing w:after="20"/>
            </w:pPr>
            <w:r>
              <w:rPr>
                <w:sz w:val="16"/>
              </w:rPr>
              <w:t>NOT_APPLICABLE</w:t>
            </w:r>
          </w:p>
        </w:tc>
        <w:tc>
          <w:tcPr>
            <w:tcW w:type="dxa" w:w="3341"/>
            <w:vAlign w:val="center"/>
          </w:tcPr>
          <w:p>
            <w:pPr>
              <w:spacing w:after="20"/>
            </w:pPr>
            <w:r>
              <w:rPr>
                <w:sz w:val="16"/>
              </w:rPr>
              <w:t>Step/part genuinely does not apply</w:t>
            </w:r>
          </w:p>
        </w:tc>
        <w:tc>
          <w:tcPr>
            <w:tcW w:type="dxa" w:w="3341"/>
            <w:vAlign w:val="center"/>
          </w:tcPr>
          <w:p>
            <w:pPr>
              <w:spacing w:after="20"/>
            </w:pPr>
            <w:r>
              <w:rPr>
                <w:sz w:val="16"/>
              </w:rPr>
              <w:t>Validate variant; exclude step for current context</w:t>
            </w:r>
          </w:p>
        </w:tc>
      </w:tr>
      <w:tr>
        <w:trPr>
          <w:cantSplit/>
        </w:trPr>
        <w:tc>
          <w:tcPr>
            <w:tcW w:type="dxa" w:w="3341"/>
            <w:vAlign w:val="center"/>
            <w:shd w:fill="F3F6FA"/>
          </w:tcPr>
          <w:p>
            <w:pPr>
              <w:spacing w:after="20"/>
            </w:pPr>
            <w:r>
              <w:rPr>
                <w:sz w:val="16"/>
              </w:rPr>
              <w:t>UNCLEAR</w:t>
            </w:r>
          </w:p>
        </w:tc>
        <w:tc>
          <w:tcPr>
            <w:tcW w:type="dxa" w:w="3341"/>
            <w:vAlign w:val="center"/>
            <w:shd w:fill="F3F6FA"/>
          </w:tcPr>
          <w:p>
            <w:pPr>
              <w:spacing w:after="20"/>
            </w:pPr>
            <w:r>
              <w:rPr>
                <w:sz w:val="16"/>
              </w:rPr>
              <w:t>Cannot determine observation or outcome</w:t>
            </w:r>
          </w:p>
        </w:tc>
        <w:tc>
          <w:tcPr>
            <w:tcW w:type="dxa" w:w="3341"/>
            <w:vAlign w:val="center"/>
            <w:shd w:fill="F3F6FA"/>
          </w:tcPr>
          <w:p>
            <w:pPr>
              <w:spacing w:after="20"/>
            </w:pPr>
            <w:r>
              <w:rPr>
                <w:sz w:val="16"/>
              </w:rPr>
              <w:t>Request a precise recheck/photo/answer</w:t>
            </w:r>
          </w:p>
        </w:tc>
      </w:tr>
      <w:tr>
        <w:trPr>
          <w:cantSplit/>
        </w:trPr>
        <w:tc>
          <w:tcPr>
            <w:tcW w:type="dxa" w:w="3341"/>
            <w:vAlign w:val="center"/>
          </w:tcPr>
          <w:p>
            <w:pPr>
              <w:spacing w:after="20"/>
            </w:pPr>
            <w:r>
              <w:rPr>
                <w:sz w:val="16"/>
              </w:rPr>
              <w:t>RESOLVED</w:t>
            </w:r>
          </w:p>
        </w:tc>
        <w:tc>
          <w:tcPr>
            <w:tcW w:type="dxa" w:w="3341"/>
            <w:vAlign w:val="center"/>
          </w:tcPr>
          <w:p>
            <w:pPr>
              <w:spacing w:after="20"/>
            </w:pPr>
            <w:r>
              <w:rPr>
                <w:sz w:val="16"/>
              </w:rPr>
              <w:t>Customer confirms symptom no longer occurs</w:t>
            </w:r>
          </w:p>
        </w:tc>
        <w:tc>
          <w:tcPr>
            <w:tcW w:type="dxa" w:w="3341"/>
            <w:vAlign w:val="center"/>
          </w:tcPr>
          <w:p>
            <w:pPr>
              <w:spacing w:after="20"/>
            </w:pPr>
            <w:r>
              <w:rPr>
                <w:sz w:val="16"/>
              </w:rPr>
              <w:t>Close session; cite actions and avoid unsupported causal explanation</w:t>
            </w:r>
          </w:p>
        </w:tc>
      </w:tr>
    </w:tbl>
    <w:p>
      <w:pPr>
        <w:spacing w:after="0"/>
      </w:pPr>
    </w:p>
    <w:p>
      <w:pPr>
        <w:pStyle w:val="Heading1"/>
      </w:pPr>
      <w:r>
        <w:rPr>
          <w:color w:val="000000"/>
        </w:rPr>
        <w:t>Source support and answer release requirements</w:t>
      </w:r>
    </w:p>
    <w:p>
      <w:r>
        <w:t>Relevant typed facts and immutable outcomes remain separate from conversational wording. ACTION_COMPLETED_UNRESOLVED never becomes OBSERVED_NORMAL. Optional legacy troubleshooting flows may retain reviewed StepDefinition and ApplicabilityRule records, but they cannot restrict ordinary manual Q&amp;A or source-supported questions about documented procedures. Source-derived prerequisites and warnings must be satisfied, clarified when rider-resolvable, or explicitly handled in the verified answer.</w:t>
      </w:r>
    </w:p>
    <w:p>
      <w:r>
        <w:t>Use dense cosine retrieval plus BM25 and RRF, initial parent/dependency assembly, source and applicability checks, at most one exact-ID recovery for approved missing dependencies, and at most one conditional cross-encoder attempt for uncertain ordering. Reassemble while retaining mandatory evidence. Missing review must not trigger reranking. Conditional is the normal policy; off and always_diagnostic are ablations. Current unreviewed bundles skip reranking and block technical generation.</w:t>
      </w:r>
    </w:p>
    <w:p>
      <w:r>
        <w:t>The ordinary verifier decisions are exactly RELEASE_COMPLETE, RELEASE_PARTIAL and SHOW_FALLBACK. These decision labels are distinct from the application states SUPPORTED, AMBIGUOUS, UNSUPPORTED, SAFETY_STOP and SYSTEM_ERROR; do not introduce ACCEPTED or PARTIAL as verdict labels. RELEASE_COMPLETE and RELEASE_PARTIAL release only the exact verified technical response; a partial response must include its limitation before verification. SHOW_FALLBACK handles irrelevant evidence, missing support or failed bounded correction, while preserving RELEASE_CLARIFICATION for AMBIGUOUS and RELEASE_SAFETY_STOP for SAFETY_STOP as distinct special decisions. Ask one focused question only for a rider-resolvable ambiguity needed for the actual question. Source gaps or review decisions are maintainer issues. Malformed output, timeout, outage, exhausted quota or integrity failure is SYSTEM_ERROR, never acceptance or proof of absence throughout the manual. Preserve safety-stop precedence; technical safety wording is also covered by verification before delivery.</w:t>
      </w:r>
    </w:p>
    <w:p>
      <w:r>
        <w:t>Disable old Arm A and exact-response shortcuts in the initial integration; they cannot bypass the new verification call. Index reuse and provider prompt caching are separate optimizations. Future verified-response reuse needs exact source, query, state, response and runtime bindings plus separate evaluation. Similarity alone never authorizes reuse. Count complete requests and all draft, verify, correction and re-verification attempts against existing token, byte, output, concurrency, quota, retention and spending limits; never silently truncate mandatory evidence.</w:t>
      </w:r>
    </w:p>
    <w:p>
      <w:pPr>
        <w:pStyle w:val="Heading1"/>
      </w:pPr>
      <w:r>
        <w:rPr>
          <w:color w:val="000000"/>
        </w:rPr>
        <w:t>6  Interaction examples (illustrative, not manual-grounded)</w:t>
      </w:r>
    </w:p>
    <w:tbl>
      <w:tblPr>
        <w:tblStyle w:val="LightShading-Accent1"/>
        <w:tblW w:type="auto" w:w="0"/>
        <w:jc w:val="center"/>
        <w:tblLayout w:type="autofit"/>
        <w:tblLook w:firstColumn="1" w:firstRow="1" w:lastColumn="0" w:lastRow="0" w:noHBand="0" w:noVBand="1" w:val="04A0"/>
      </w:tblPr>
      <w:tblGrid>
        <w:gridCol w:w="5011"/>
        <w:gridCol w:w="5011"/>
      </w:tblGrid>
      <w:tr>
        <w:trPr>
          <w:tblHeader/>
        </w:trPr>
        <w:tc>
          <w:tcPr>
            <w:tcW w:type="dxa" w:w="5011"/>
            <w:shd w:fill="102238"/>
          </w:tcPr>
          <w:p>
            <w:r>
              <w:rPr>
                <w:b/>
                <w:color w:val="FFFFFF"/>
                <w:sz w:val="16"/>
              </w:rPr>
              <w:t>Customer</w:t>
            </w:r>
          </w:p>
        </w:tc>
        <w:tc>
          <w:tcPr>
            <w:tcW w:type="dxa" w:w="5011"/>
            <w:shd w:fill="102238"/>
          </w:tcPr>
          <w:p>
            <w:r>
              <w:rPr>
                <w:b/>
                <w:color w:val="FFFFFF"/>
                <w:sz w:val="16"/>
              </w:rPr>
              <w:t>Expected bot behavior</w:t>
            </w:r>
          </w:p>
        </w:tc>
      </w:tr>
      <w:tr>
        <w:trPr>
          <w:cantSplit/>
        </w:trPr>
        <w:tc>
          <w:tcPr>
            <w:tcW w:type="dxa" w:w="5011"/>
            <w:vAlign w:val="center"/>
          </w:tcPr>
          <w:p>
            <w:pPr>
              <w:spacing w:after="20"/>
            </w:pPr>
            <w:r>
              <w:rPr>
                <w:sz w:val="16"/>
              </w:rPr>
              <w:t>“The lights come on but it won’t start.”</w:t>
            </w:r>
          </w:p>
        </w:tc>
        <w:tc>
          <w:tcPr>
            <w:tcW w:type="dxa" w:w="5011"/>
            <w:vAlign w:val="center"/>
          </w:tcPr>
          <w:p>
            <w:pPr>
              <w:spacing w:after="20"/>
            </w:pPr>
            <w:r>
              <w:rPr>
                <w:sz w:val="16"/>
              </w:rPr>
              <w:t>Ask the documented question distinguishing the available start-failure branches</w:t>
            </w:r>
          </w:p>
        </w:tc>
      </w:tr>
      <w:tr>
        <w:trPr>
          <w:cantSplit/>
        </w:trPr>
        <w:tc>
          <w:tcPr>
            <w:tcW w:type="dxa" w:w="5011"/>
            <w:vAlign w:val="center"/>
            <w:shd w:fill="F3F6FA"/>
          </w:tcPr>
          <w:p>
            <w:pPr>
              <w:spacing w:after="20"/>
            </w:pPr>
            <w:r>
              <w:rPr>
                <w:sz w:val="16"/>
              </w:rPr>
              <w:t>“I checked the switch, it was in the correct position.”</w:t>
            </w:r>
          </w:p>
        </w:tc>
        <w:tc>
          <w:tcPr>
            <w:tcW w:type="dxa" w:w="5011"/>
            <w:vAlign w:val="center"/>
            <w:shd w:fill="F3F6FA"/>
          </w:tcPr>
          <w:p>
            <w:pPr>
              <w:spacing w:after="20"/>
            </w:pPr>
            <w:r>
              <w:rPr>
                <w:sz w:val="16"/>
              </w:rPr>
              <w:t>Record OBSERVED_NORMAL; do not repeat that check; retrieve next documented branch</w:t>
            </w:r>
          </w:p>
        </w:tc>
      </w:tr>
      <w:tr>
        <w:trPr>
          <w:cantSplit/>
        </w:trPr>
        <w:tc>
          <w:tcPr>
            <w:tcW w:type="dxa" w:w="5011"/>
            <w:vAlign w:val="center"/>
          </w:tcPr>
          <w:p>
            <w:pPr>
              <w:spacing w:after="20"/>
            </w:pPr>
            <w:r>
              <w:rPr>
                <w:sz w:val="16"/>
              </w:rPr>
              <w:t>“I did step 2 but it did not help.”</w:t>
            </w:r>
          </w:p>
        </w:tc>
        <w:tc>
          <w:tcPr>
            <w:tcW w:type="dxa" w:w="5011"/>
            <w:vAlign w:val="center"/>
          </w:tcPr>
          <w:p>
            <w:pPr>
              <w:spacing w:after="20"/>
            </w:pPr>
            <w:r>
              <w:rPr>
                <w:sz w:val="16"/>
              </w:rPr>
              <w:t>Record ACTION_COMPLETED_UNRESOLVED; offer next eligible documented check or OEM escalation</w:t>
            </w:r>
          </w:p>
        </w:tc>
      </w:tr>
      <w:tr>
        <w:trPr>
          <w:cantSplit/>
        </w:trPr>
        <w:tc>
          <w:tcPr>
            <w:tcW w:type="dxa" w:w="5011"/>
            <w:vAlign w:val="center"/>
            <w:shd w:fill="F3F6FA"/>
          </w:tcPr>
          <w:p>
            <w:pPr>
              <w:spacing w:after="20"/>
            </w:pPr>
            <w:r>
              <w:rPr>
                <w:sz w:val="16"/>
              </w:rPr>
              <w:t>“There is no such component on my variant.”</w:t>
            </w:r>
          </w:p>
        </w:tc>
        <w:tc>
          <w:tcPr>
            <w:tcW w:type="dxa" w:w="5011"/>
            <w:vAlign w:val="center"/>
            <w:shd w:fill="F3F6FA"/>
          </w:tcPr>
          <w:p>
            <w:pPr>
              <w:spacing w:after="20"/>
            </w:pPr>
            <w:r>
              <w:rPr>
                <w:sz w:val="16"/>
              </w:rPr>
              <w:t>Re-confirm manual/variant; mark NOT_APPLICABLE; do not prescribe related work</w:t>
            </w:r>
          </w:p>
        </w:tc>
      </w:tr>
      <w:tr>
        <w:trPr>
          <w:cantSplit/>
        </w:trPr>
        <w:tc>
          <w:tcPr>
            <w:tcW w:type="dxa" w:w="5011"/>
            <w:vAlign w:val="center"/>
          </w:tcPr>
          <w:p>
            <w:pPr>
              <w:spacing w:after="20"/>
            </w:pPr>
            <w:r>
              <w:rPr>
                <w:sz w:val="16"/>
              </w:rPr>
              <w:t>“The photo shows a symbol you cannot clearly recognize.”</w:t>
            </w:r>
          </w:p>
        </w:tc>
        <w:tc>
          <w:tcPr>
            <w:tcW w:type="dxa" w:w="5011"/>
            <w:vAlign w:val="center"/>
          </w:tcPr>
          <w:p>
            <w:pPr>
              <w:spacing w:after="20"/>
            </w:pPr>
            <w:r>
              <w:rPr>
                <w:sz w:val="16"/>
              </w:rPr>
              <w:t>Ask for a clearer view/description; no speculative symbol diagnosis</w:t>
            </w:r>
          </w:p>
        </w:tc>
      </w:tr>
      <w:tr>
        <w:trPr>
          <w:cantSplit/>
        </w:trPr>
        <w:tc>
          <w:tcPr>
            <w:tcW w:type="dxa" w:w="5011"/>
            <w:vAlign w:val="center"/>
            <w:shd w:fill="F3F6FA"/>
          </w:tcPr>
          <w:p>
            <w:pPr>
              <w:spacing w:after="20"/>
            </w:pPr>
            <w:r>
              <w:rPr>
                <w:sz w:val="16"/>
              </w:rPr>
              <w:t>“Tell me an undocumented workaround.”</w:t>
            </w:r>
          </w:p>
        </w:tc>
        <w:tc>
          <w:tcPr>
            <w:tcW w:type="dxa" w:w="5011"/>
            <w:vAlign w:val="center"/>
            <w:shd w:fill="F3F6FA"/>
          </w:tcPr>
          <w:p>
            <w:pPr>
              <w:spacing w:after="20"/>
            </w:pPr>
            <w:r>
              <w:rPr>
                <w:sz w:val="16"/>
              </w:rPr>
              <w:t>Abstain and provide OEM contact channel</w:t>
            </w:r>
          </w:p>
        </w:tc>
      </w:tr>
    </w:tbl>
    <w:p>
      <w:pPr>
        <w:spacing w:after="0"/>
      </w:pPr>
    </w:p>
    <w:p>
      <w:pPr>
        <w:pStyle w:val="Heading1"/>
      </w:pPr>
      <w:r>
        <w:rPr>
          <w:color w:val="000000"/>
        </w:rPr>
        <w:t>7  UX content and presentation policy</w:t>
      </w:r>
    </w:p>
    <w:p>
      <w:pPr>
        <w:pStyle w:val="ListBullet"/>
      </w:pPr>
      <w:r>
        <w:t>Answer layout addresses the actual question first, followed by applicable conditions and safety warnings, citations, and clearly stated limits. Structured feedback is available when useful; an ordinary factual answer need not select a diagnostic step.</w:t>
      </w:r>
    </w:p>
    <w:p>
      <w:pPr>
        <w:pStyle w:val="ListBullet"/>
      </w:pPr>
      <w:r>
        <w:t>Clarification layout: one focused question with a small set of manual-derived answer choices; do not require the rider to use technical jargon</w:t>
      </w:r>
    </w:p>
    <w:p>
      <w:pPr>
        <w:pStyle w:val="ListBullet"/>
      </w:pPr>
      <w:r>
        <w:t>The ordinary verifier decisions are exactly RELEASE_COMPLETE, RELEASE_PARTIAL and SHOW_FALLBACK. These decision labels are distinct from the application states SUPPORTED, AMBIGUOUS, UNSUPPORTED, SAFETY_STOP and SYSTEM_ERROR; do not introduce ACCEPTED or PARTIAL as verdict labels. RELEASE_COMPLETE and RELEASE_PARTIAL release only the exact verified technical response; a partial response must include its limitation before verification. SHOW_FALLBACK handles irrelevant evidence, missing support or failed bounded correction, while preserving RELEASE_CLARIFICATION for AMBIGUOUS and RELEASE_SAFETY_STOP for SAFETY_STOP as distinct special decisions. Ask one focused question only for a rider-resolvable ambiguity needed for the actual question. Source gaps or review decisions are maintainer issues. Malformed output, timeout, outage, exhausted quota or integrity failure is SYSTEM_ERROR, never acceptance or proof of absence throughout the manual. Preserve safety-stop precedence; technical safety wording is also covered by verification before delivery.</w:t>
      </w:r>
    </w:p>
    <w:p>
      <w:pPr>
        <w:pStyle w:val="ListBullet"/>
      </w:pPr>
      <w:r>
        <w:t>Error language: distinguish unsupported evidence from parser failure, API outage, and unconfirmed bike variant; do not misrepresent a system error as absence in the manual</w:t>
      </w:r>
    </w:p>
    <w:p>
      <w:pPr>
        <w:pStyle w:val="Heading1"/>
      </w:pPr>
      <w:r>
        <w:rPr>
          <w:color w:val="000000"/>
        </w:rPr>
        <w:t>8  Safety, privacy and trust requirements</w:t>
      </w:r>
    </w:p>
    <w:p>
      <w:pPr>
        <w:pStyle w:val="ListBullet"/>
      </w:pPr>
      <w:r>
        <w:t>Source-only guarantee applies to substantive technical recommendations; neutral conversational phrasing, source metadata and verified OEM contact information may be outside the manual</w:t>
      </w:r>
    </w:p>
    <w:p>
      <w:pPr>
        <w:pStyle w:val="ListBullet"/>
      </w:pPr>
      <w:r>
        <w:t>Do not continue an unsafe procedure when a relevant manual warning or unmet prerequisite applies; show the warning and stop/clarify appropriately</w:t>
      </w:r>
    </w:p>
    <w:p>
      <w:pPr>
        <w:pStyle w:val="ListBullet"/>
      </w:pPr>
      <w:r>
        <w:t>Treat manuals and user messages as untrusted instruction-bearing data: ignore commands embedded in PDFs or images that attempt to change system policy</w:t>
      </w:r>
    </w:p>
    <w:p>
      <w:pPr>
        <w:pStyle w:val="ListBullet"/>
      </w:pPr>
      <w:r>
        <w:t>Raw photos/audio are ephemeral by default, with no persistent storage in public demo telemetry unless separately opted in</w:t>
      </w:r>
    </w:p>
    <w:p>
      <w:pPr>
        <w:pStyle w:val="ListBullet"/>
      </w:pPr>
      <w:r>
        <w:t>Display that this is an experimental support tool and not a substitute for official service advice</w:t>
      </w:r>
    </w:p>
    <w:p>
      <w:pPr>
        <w:pStyle w:val="Heading1"/>
      </w:pPr>
      <w:r>
        <w:rPr>
          <w:color w:val="000000"/>
        </w:rPr>
        <w:t>9  Nonfunctional requirements and indicative targets</w:t>
      </w:r>
    </w:p>
    <w:tbl>
      <w:tblPr>
        <w:tblStyle w:val="LightShading-Accent1"/>
        <w:tblW w:type="auto" w:w="0"/>
        <w:jc w:val="center"/>
        <w:tblLayout w:type="autofit"/>
        <w:tblLook w:firstColumn="1" w:firstRow="1" w:lastColumn="0" w:lastRow="0" w:noHBand="0" w:noVBand="1" w:val="04A0"/>
      </w:tblPr>
      <w:tblGrid>
        <w:gridCol w:w="5011"/>
        <w:gridCol w:w="5011"/>
      </w:tblGrid>
      <w:tr>
        <w:trPr>
          <w:tblHeader/>
        </w:trPr>
        <w:tc>
          <w:tcPr>
            <w:tcW w:type="dxa" w:w="5011"/>
            <w:shd w:fill="102238"/>
          </w:tcPr>
          <w:p>
            <w:r>
              <w:rPr>
                <w:b/>
                <w:color w:val="FFFFFF"/>
                <w:sz w:val="16"/>
              </w:rPr>
              <w:t>Measure</w:t>
            </w:r>
          </w:p>
        </w:tc>
        <w:tc>
          <w:tcPr>
            <w:tcW w:type="dxa" w:w="5011"/>
            <w:shd w:fill="102238"/>
          </w:tcPr>
          <w:p>
            <w:r>
              <w:rPr>
                <w:b/>
                <w:color w:val="FFFFFF"/>
                <w:sz w:val="16"/>
              </w:rPr>
              <w:t>Target / condition</w:t>
            </w:r>
          </w:p>
        </w:tc>
      </w:tr>
      <w:tr>
        <w:trPr>
          <w:cantSplit/>
        </w:trPr>
        <w:tc>
          <w:tcPr>
            <w:tcW w:type="dxa" w:w="5011"/>
            <w:vAlign w:val="center"/>
          </w:tcPr>
          <w:p>
            <w:pPr>
              <w:spacing w:after="20"/>
            </w:pPr>
            <w:r>
              <w:rPr>
                <w:sz w:val="16"/>
              </w:rPr>
              <w:t>Grounding</w:t>
            </w:r>
          </w:p>
        </w:tc>
        <w:tc>
          <w:tcPr>
            <w:tcW w:type="dxa" w:w="5011"/>
            <w:vAlign w:val="center"/>
          </w:tcPr>
          <w:p>
            <w:pPr>
              <w:spacing w:after="20"/>
            </w:pPr>
            <w:r>
              <w:rPr>
                <w:sz w:val="16"/>
              </w:rPr>
              <w:t>Zero unsupported technical steps across manually reviewed release regression suite; not a production guarantee</w:t>
            </w:r>
          </w:p>
        </w:tc>
      </w:tr>
      <w:tr>
        <w:trPr>
          <w:cantSplit/>
        </w:trPr>
        <w:tc>
          <w:tcPr>
            <w:tcW w:type="dxa" w:w="5011"/>
            <w:vAlign w:val="center"/>
            <w:shd w:fill="F3F6FA"/>
          </w:tcPr>
          <w:p>
            <w:pPr>
              <w:spacing w:after="20"/>
            </w:pPr>
            <w:r>
              <w:rPr>
                <w:sz w:val="16"/>
              </w:rPr>
              <w:t>Abstention recall</w:t>
            </w:r>
          </w:p>
        </w:tc>
        <w:tc>
          <w:tcPr>
            <w:tcW w:type="dxa" w:w="5011"/>
            <w:vAlign w:val="center"/>
            <w:shd w:fill="F3F6FA"/>
          </w:tcPr>
          <w:p>
            <w:pPr>
              <w:spacing w:after="20"/>
            </w:pPr>
            <w:r>
              <w:rPr>
                <w:sz w:val="16"/>
              </w:rPr>
              <w:t>At least 95% on labelled unanswerable test cases; benchmark-dependent</w:t>
            </w:r>
          </w:p>
        </w:tc>
      </w:tr>
      <w:tr>
        <w:trPr>
          <w:cantSplit/>
        </w:trPr>
        <w:tc>
          <w:tcPr>
            <w:tcW w:type="dxa" w:w="5011"/>
            <w:vAlign w:val="center"/>
          </w:tcPr>
          <w:p>
            <w:pPr>
              <w:spacing w:after="20"/>
            </w:pPr>
            <w:r>
              <w:rPr>
                <w:sz w:val="16"/>
              </w:rPr>
              <w:t>Answerable coverage</w:t>
            </w:r>
          </w:p>
        </w:tc>
        <w:tc>
          <w:tcPr>
            <w:tcW w:type="dxa" w:w="5011"/>
            <w:vAlign w:val="center"/>
          </w:tcPr>
          <w:p>
            <w:pPr>
              <w:spacing w:after="20"/>
            </w:pPr>
            <w:r>
              <w:rPr>
                <w:sz w:val="16"/>
              </w:rPr>
              <w:t>At least 80% supported answer rate on answerable cases</w:t>
            </w:r>
          </w:p>
        </w:tc>
      </w:tr>
      <w:tr>
        <w:trPr>
          <w:cantSplit/>
        </w:trPr>
        <w:tc>
          <w:tcPr>
            <w:tcW w:type="dxa" w:w="5011"/>
            <w:vAlign w:val="center"/>
            <w:shd w:fill="F3F6FA"/>
          </w:tcPr>
          <w:p>
            <w:pPr>
              <w:spacing w:after="20"/>
            </w:pPr>
            <w:r>
              <w:rPr>
                <w:sz w:val="16"/>
              </w:rPr>
              <w:t>Complete evidence recall</w:t>
            </w:r>
          </w:p>
        </w:tc>
        <w:tc>
          <w:tcPr>
            <w:tcW w:type="dxa" w:w="5011"/>
            <w:vAlign w:val="center"/>
            <w:shd w:fill="F3F6FA"/>
          </w:tcPr>
          <w:p>
            <w:pPr>
              <w:spacing w:after="20"/>
            </w:pPr>
            <w:r>
              <w:rPr>
                <w:sz w:val="16"/>
              </w:rPr>
              <w:t>At least 90% of answerable cases have all required evidence objects in bundle</w:t>
            </w:r>
          </w:p>
        </w:tc>
      </w:tr>
      <w:tr>
        <w:trPr>
          <w:cantSplit/>
        </w:trPr>
        <w:tc>
          <w:tcPr>
            <w:tcW w:type="dxa" w:w="5011"/>
            <w:vAlign w:val="center"/>
          </w:tcPr>
          <w:p>
            <w:pPr>
              <w:spacing w:after="20"/>
            </w:pPr>
            <w:r>
              <w:rPr>
                <w:sz w:val="16"/>
              </w:rPr>
              <w:t>Citation validity</w:t>
            </w:r>
          </w:p>
        </w:tc>
        <w:tc>
          <w:tcPr>
            <w:tcW w:type="dxa" w:w="5011"/>
            <w:vAlign w:val="center"/>
          </w:tcPr>
          <w:p>
            <w:pPr>
              <w:spacing w:after="20"/>
            </w:pPr>
            <w:r>
              <w:rPr>
                <w:sz w:val="16"/>
              </w:rPr>
              <w:t>At least 98% claim-supporting, correct manual references</w:t>
            </w:r>
          </w:p>
        </w:tc>
      </w:tr>
      <w:tr>
        <w:trPr>
          <w:cantSplit/>
        </w:trPr>
        <w:tc>
          <w:tcPr>
            <w:tcW w:type="dxa" w:w="5011"/>
            <w:vAlign w:val="center"/>
            <w:shd w:fill="F3F6FA"/>
          </w:tcPr>
          <w:p>
            <w:r>
              <w:rPr>
                <w:sz w:val="16"/>
              </w:rPr>
              <w:t>Latency</w:t>
            </w:r>
          </w:p>
        </w:tc>
        <w:tc>
          <w:tcPr>
            <w:tcW w:type="dxa" w:w="5011"/>
            <w:vAlign w:val="center"/>
            <w:shd w:fill="F3F6FA"/>
          </w:tcPr>
          <w:p>
            <w:r>
              <w:rPr>
                <w:sz w:val="16"/>
              </w:rPr>
              <w:t>Measure warm text p50 &lt;=2.5 seconds and p95 &lt;=5 seconds, photo p95 &lt;=10 seconds, with cold starts separate. TTFO runs from confirmed input to the first releasable answer token; loading indicators do not count and technical tokens remain withheld until validation. Report fast, recovery/rerank and combined p95, fallback frequency, stage failures and cost per correctly handled case.</w:t>
            </w:r>
          </w:p>
        </w:tc>
      </w:tr>
      <w:tr>
        <w:trPr>
          <w:cantSplit/>
        </w:trPr>
        <w:tc>
          <w:tcPr>
            <w:tcW w:type="dxa" w:w="5011"/>
            <w:vAlign w:val="center"/>
          </w:tcPr>
          <w:p>
            <w:pPr>
              <w:spacing w:after="20"/>
            </w:pPr>
            <w:r>
              <w:rPr>
                <w:sz w:val="16"/>
              </w:rPr>
              <w:t>Reliability</w:t>
            </w:r>
          </w:p>
        </w:tc>
        <w:tc>
          <w:tcPr>
            <w:tcW w:type="dxa" w:w="5011"/>
            <w:vAlign w:val="center"/>
          </w:tcPr>
          <w:p>
            <w:pPr>
              <w:spacing w:after="20"/>
            </w:pPr>
            <w:r>
              <w:rPr>
                <w:sz w:val="16"/>
              </w:rPr>
              <w:t>External-link smoke tests and session continuity pass before handover</w:t>
            </w:r>
          </w:p>
        </w:tc>
      </w:tr>
      <w:tr>
        <w:trPr>
          <w:cantSplit/>
        </w:trPr>
        <w:tc>
          <w:tcPr>
            <w:tcW w:type="dxa" w:w="5011"/>
            <w:vAlign w:val="center"/>
            <w:shd w:fill="F3F6FA"/>
          </w:tcPr>
          <w:p>
            <w:r>
              <w:rPr>
                <w:sz w:val="16"/>
              </w:rPr>
              <w:t>Cost</w:t>
            </w:r>
          </w:p>
        </w:tc>
        <w:tc>
          <w:tcPr>
            <w:tcW w:type="dxa" w:w="5011"/>
            <w:vAlign w:val="center"/>
            <w:shd w:fill="F3F6FA"/>
          </w:tcPr>
          <w:p>
            <w:r>
              <w:t>Follow current exact authorized budget/spend ledger; historical INR800/640 figures are superseded. No new spending or billing change is authorized here.</w:t>
            </w:r>
          </w:p>
        </w:tc>
      </w:tr>
      <w:tr>
        <w:tc>
          <w:tcPr>
            <w:tcW w:type="dxa" w:w="5011"/>
          </w:tcPr>
          <w:p>
            <w:r>
              <w:rPr>
                <w:sz w:val="16"/>
              </w:rPr>
              <w:t>Next-step correctness and repeat defects</w:t>
            </w:r>
          </w:p>
        </w:tc>
        <w:tc>
          <w:tcPr>
            <w:tcW w:type="dxa" w:w="5011"/>
          </w:tcPr>
          <w:p>
            <w:r>
              <w:rPr>
                <w:sz w:val="16"/>
              </w:rPr>
              <w:t>At least 95% correct transitions; zero unjustified repeats in the manually reviewed release suite</w:t>
            </w:r>
          </w:p>
        </w:tc>
      </w:tr>
    </w:tbl>
    <w:p>
      <w:pPr>
        <w:spacing w:after="0"/>
      </w:pPr>
    </w:p>
    <w:p>
      <w:pPr>
        <w:pStyle w:val="Heading1"/>
      </w:pPr>
      <w:r>
        <w:rPr>
          <w:color w:val="000000"/>
        </w:rPr>
        <w:t>10  Acceptance test / release gates</w:t>
      </w:r>
    </w:p>
    <w:p>
      <w:pPr>
        <w:pStyle w:val="ListNumber"/>
      </w:pPr>
      <w:r>
        <w:t>Choose and freeze one exact manual/variant, source checksum and rights posture</w:t>
      </w:r>
    </w:p>
    <w:p>
      <w:pPr>
        <w:pStyle w:val="ListNumber"/>
      </w:pPr>
      <w:r>
        <w:t>Create at least 25 independently reviewed gold cases before release, including multi-turn and image cases where evidence exists</w:t>
      </w:r>
    </w:p>
    <w:p>
      <w:pPr>
        <w:pStyle w:val="ListNumber"/>
      </w:pPr>
      <w:r>
        <w:t>Validate no unsupported instruction in the release regression set; manually review every high-risk case</w:t>
      </w:r>
    </w:p>
    <w:p>
      <w:pPr>
        <w:pStyle w:val="ListNumber"/>
      </w:pPr>
      <w:r>
        <w:t>Prove that unresolved attempts remain unresolved in relevant follow-ups and do not become normal observations or unjustified repeats; ordinary Q&amp;A must remain available without registered branches.</w:t>
      </w:r>
    </w:p>
    <w:p>
      <w:pPr>
        <w:pStyle w:val="ListNumber"/>
      </w:pPr>
      <w:r>
        <w:t>Prove that missing evidence triggers OEM escalation, while a backend error triggers a service-error message</w:t>
      </w:r>
    </w:p>
    <w:p>
      <w:pPr>
        <w:pStyle w:val="ListNumber"/>
      </w:pPr>
      <w:r>
        <w:t>Verify that an independent reviewer can open the live URL and reproduce named demo scenarios</w:t>
      </w:r>
    </w:p>
    <w:p>
      <w:pPr>
        <w:pStyle w:val="Heading1"/>
      </w:pPr>
      <w:r>
        <w:rPr>
          <w:color w:val="000000"/>
        </w:rPr>
        <w:t>11  Dependencies and open questions</w:t>
      </w:r>
    </w:p>
    <w:p>
      <w:pPr>
        <w:pStyle w:val="ListBullet"/>
      </w:pPr>
      <w:r>
        <w:t>Required: exact OEM source identity, selected-manual applicability, preserved source-only authority, verified OEM route, and enforcement of current source display restrictions. Public source redistribution remains prohibited unless rights change explicitly.</w:t>
      </w:r>
    </w:p>
    <w:p>
      <w:pPr>
        <w:pStyle w:val="ListBullet"/>
      </w:pPr>
      <w:r>
        <w:t>To decide after manual inspection: figure parsing quality, table preservation, graph-edge automation and photo test coverage</w:t>
      </w:r>
    </w:p>
    <w:p>
      <w:pPr>
        <w:pStyle w:val="ListBullet"/>
      </w:pPr>
      <w:r>
        <w:t>Product caveat: if the manual does not document alternative paths, a follow-up may legitimately end with an OEM escalation after only one check</w:t>
      </w:r>
    </w:p>
    <w:p>
      <w:r>
        <w:t>Supporting technical documentation is referenced in the Concept and To Build documents.</w:t>
      </w:r>
    </w:p>
    <w:p>
      <w:pPr>
        <w:pStyle w:val="Heading1"/>
      </w:pPr>
      <w:r>
        <w:rPr>
          <w:color w:val="000000"/>
        </w:rPr>
        <w:t>Recorded progress and remaining release gates</w:t>
      </w:r>
    </w:p>
    <w:p>
      <w:r>
        <w:t>Hosted BGE M3/Qdrant candidate infrastructure records 532 chunks, 277 parents and historical 11/11 backend checks. The new private draft, separate verifier, truthful progress, save and buffered stream boundary requires fresh integration and real-output acceptance; historical infrastructure checks do not establish that result.</w:t>
      </w:r>
    </w:p>
    <w:p>
      <w:r>
        <w:t>Preserve exact immutable source IDs, original-page provenance and approved source-object bindings. Source-integrity review is distinct from authored-answer approval; the frozen 161-case v3 package and its exact bytes remain unchanged. Parent labels do not authorize whole parent bodies. Restore applicable warnings, prerequisites, table headers, units and referenced context only through reviewed source relationships. Page 103 fallback and unresolved source-specific limitations remain explicit. Rider PDF, excerpt and figure-crop delivery remains prohibited under source_manifest.json; use verified paraphrases and server-derived citation metadata.</w:t>
      </w:r>
    </w:p>
    <w:p>
      <w:r>
        <w:t>Keep the approved 161-case v3 source/initial-response scopes exact and preserve provisional cases as evaluation history. Create fresh unseen rider-style held-out questions after the new runtime freeze; keep expected facts and original pages in test metadata, not rider wording or serving prompts. Evaluate question coverage, completeness and claim support separately, including false verifier acceptance and refusal.</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1"/>
        <w:sz w:val="16"/>
      </w:rPr>
      <w:t xml:space="preserve">DRAFT • SOURCE REVIEW PENDING     |     09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2026-10-09T12:00:00Z</dcterms:modified>
  <cp:category/>
</cp:coreProperties>
</file>