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AI build and evaluation decisions</w:t>
      </w:r>
    </w:p>
    <w:p>
      <w:pPr>
        <w:pStyle w:val="Subtitle"/>
      </w:pPr>
      <w:r>
        <w:rPr>
          <w:color w:val="000000"/>
        </w:rPr>
        <w:t>Execution inventory, design decisions, scenarios, golden-case framework and release checklist</w:t>
      </w:r>
    </w:p>
    <w:p>
      <w:r>
        <w:t>Version 04 reconciled 11 October 2026 with TRD v0.6</w:t>
      </w:r>
    </w:p>
    <w:p>
      <w:pPr/>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p>
      <w:pPr>
        <w:pStyle w:val="Heading1"/>
      </w:pPr>
      <w:r>
        <w:rPr>
          <w:color w:val="000000"/>
        </w:rPr>
        <w:t>Current answer architecture</w:t>
      </w:r>
    </w:p>
    <w:p>
      <w:pPr/>
      <w:r>
        <w:t>The rider may ask any question about the selected motorcycle and manual, including a documented procedure. No predefined question, canonical response, intent catalogue, fact group, answer scope or registered action is required for an otherwise source-supported answer. The applicable manual evidence is the knowledge authority. Give concise useful information, state partial support clearly, and provide the verified OEM support route where appropriate. Do not invent diagnosis, repairs, conditions or OEM ordering. Rider usefulness feedback does not establish technical correctness or a verified repair.</w:t>
      </w:r>
    </w:p>
    <w:p>
      <w:pPr/>
      <w:r>
        <w:t>Reuse versioned hosted Docling ingestion, BGE M3 plus BM25 and Qdrant. Retrieve and assemble relevant immutable passages through hybrid search, bounded recovery and conditional reranking. Do not parse or embed the manual per request. A high relevance score does not establish support; failure to retrieve an answer is not proof of absence throughout the manual.</w:t>
      </w:r>
    </w:p>
    <w:p>
      <w:pPr/>
      <w:r>
        <w:t>DRAFT privately using the actual question, relevant conversation history and outcomes, assembled applicable evidence and citation IDs, and the source-only policy. Produce the complete proposed answer with claim mappings, conditions, warnings and any limits. There is no separate assess-evidence-first LLM call. Allow new wording and combinations of supported facts; never expose private drafting tokens.</w:t>
      </w:r>
    </w:p>
    <w:p>
      <w:pPr/>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question coverage, per-claim support, omissions, conflicts and an ordinary decision of RELEASE_COMPLETE, RELEASE_PARTIAL or SHOW_FALLBACK, bound to exact response and evidence hashes. Preserve RELEASE_CLARIFICATION for AMBIGUOUS and RELEASE_SAFETY_STOP for SAFETY_STOP special routing. Confidence is not acceptance. The verifier evaluates and does not rewrite a released answer.</w:t>
      </w:r>
    </w:p>
    <w:p>
      <w:pPr/>
      <w:r>
        <w:t>Finalize all server-added technical text, warnings, citations and any partial-answer limitation before verification. Withhold rejected drafts. Permit at most one evidence-supported correction and a new verification call; any changed technical response must be verified again. If support cannot be established or the bounded correction fails, use SHOW_FALLBACK without another correction. Verification remains probabilistic; evaluate false acceptance and false refusal independently against original pages.</w:t>
      </w:r>
    </w:p>
    <w:p>
      <w:pPr/>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technical answer content only after whole-response verification, final integrity checks and durable save. Stream the exact buffered verified response without another model call. Bind delivery to response hash, evidence and runtime versions, and operation ID; preserve complete saved answers and idempotent recovery after disconnects. Fixed neutral fallback and system-error messages do not need successful LLM verification; never label their display as a verified technical answer.</w:t>
      </w:r>
    </w:p>
    <w:p>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pPr/>
      <w:r>
        <w:t>For SHOW_FALLBACK, display this exact fixed application message: I couldn’t find relevant information in the selected manual to answer your question. Please contact Royal Enfield or an authorised service centre. Attach the verified OEM contact URI from source_manifest.json, preserving its manifest binding. Record the exact internal reason code IRRELEVANT_ANSWER, MISSING_SUPPORT or CORRECTION_UNSUCCESSFUL. Preserve specific provider, schema and source-integrity failure reason codes in telemetry while displaying the fixed neutral SYSTEM_ERROR message. This fallback is neutral application wording, not a verified technical answer. For SYSTEM_ERROR, display this exact fixed application message: I couldn’t check the answer right now. Please try again shortly. These fixed neutral messages require no successful LLM generation or verification call and remain available during provider failure. Do not expose rejected technical drafts or claim these messages received semantic technical approval. Preserve application routing, safety precedence, session ownership and saved delivery integrity.</w:t>
      </w:r>
    </w:p>
    <w:p>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This is the current design contract, not a deployment or semantic-correctness claim. The new draft, verifier, buffered delivery and progress boundary need fresh runtime tests and independent real-output evaluation. Preserve failed prior runs. Use the currently authorized gemma-4-26b-a4b-it model unless the owner approves a change. Consult current deployment, evaluation and budget receipts; the design decision grants no new provider-spending authority.</w:t>
      </w:r>
    </w:p>
    <w:p>
      <w:pPr>
        <w:pStyle w:val="Heading1"/>
      </w:pPr>
      <w:r>
        <w:rPr>
          <w:color w:val="000000"/>
        </w:rPr>
        <w:t>1  Documentation and build register</w:t>
      </w:r>
    </w:p>
    <w:p>
      <w:r>
        <w:t>This register preserves the source, implementation, design and evaluation inventory while adopting TRD v0.6 open manual Q&amp;A through private draft, separate semantic verification, final save and buffered stream. Ingestion progress and historical runtime approvals do not validate the new pipeline.</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Asset</w:t>
            </w:r>
          </w:p>
        </w:tc>
        <w:tc>
          <w:tcPr>
            <w:tcW w:type="dxa" w:w="3341"/>
            <w:shd w:fill="102238"/>
          </w:tcPr>
          <w:p>
            <w:r>
              <w:rPr>
                <w:b/>
                <w:color w:val="FFFFFF"/>
                <w:sz w:val="16"/>
              </w:rPr>
              <w:t>Status</w:t>
            </w:r>
          </w:p>
        </w:tc>
        <w:tc>
          <w:tcPr>
            <w:tcW w:type="dxa" w:w="3341"/>
            <w:shd w:fill="102238"/>
          </w:tcPr>
          <w:p>
            <w:r>
              <w:rPr>
                <w:b/>
                <w:color w:val="FFFFFF"/>
                <w:sz w:val="16"/>
              </w:rPr>
              <w:t>Trigger / exit criterion</w:t>
            </w:r>
          </w:p>
        </w:tc>
      </w:tr>
      <w:tr>
        <w:trPr>
          <w:cantSplit/>
        </w:trPr>
        <w:tc>
          <w:tcPr>
            <w:tcW w:type="dxa" w:w="3341"/>
            <w:vAlign w:val="center"/>
          </w:tcPr>
          <w:p>
            <w:r>
              <w:rPr>
                <w:sz w:val="16"/>
              </w:rPr>
              <w:t>Concept architecture + editable flowchart</w:t>
            </w:r>
          </w:p>
        </w:tc>
        <w:tc>
          <w:tcPr>
            <w:tcW w:type="dxa" w:w="3341"/>
            <w:vAlign w:val="center"/>
          </w:tcPr>
          <w:p>
            <w:r>
              <w:t>RECONCILED v0.4</w:t>
            </w:r>
          </w:p>
        </w:tc>
        <w:tc>
          <w:tcPr>
            <w:tcW w:type="dxa" w:w="3341"/>
            <w:vAlign w:val="center"/>
          </w:tcPr>
          <w:p>
            <w:r>
              <w:t>TRD v0.6 governs; exact source approvals preserved; new verification/delivery acceptance pending</w:t>
            </w:r>
          </w:p>
        </w:tc>
      </w:tr>
      <w:tr>
        <w:trPr>
          <w:cantSplit/>
        </w:trPr>
        <w:tc>
          <w:tcPr>
            <w:tcW w:type="dxa" w:w="3341"/>
            <w:vAlign w:val="center"/>
            <w:shd w:fill="F3F6FA"/>
          </w:tcPr>
          <w:p>
            <w:r>
              <w:rPr>
                <w:sz w:val="16"/>
              </w:rPr>
              <w:t>PRD and functional acceptance criteria</w:t>
            </w:r>
          </w:p>
        </w:tc>
        <w:tc>
          <w:tcPr>
            <w:tcW w:type="dxa" w:w="3341"/>
            <w:vAlign w:val="center"/>
            <w:shd w:fill="F3F6FA"/>
          </w:tcPr>
          <w:p>
            <w:r>
              <w:t>RECONCILED v0.4</w:t>
            </w:r>
          </w:p>
        </w:tc>
        <w:tc>
          <w:tcPr>
            <w:tcW w:type="dxa" w:w="3341"/>
            <w:vAlign w:val="center"/>
            <w:shd w:fill="F3F6FA"/>
          </w:tcPr>
          <w:p>
            <w:r>
              <w:t>Open Q&amp;A, semantic verification, progress, buffered delivery and failure requirements</w:t>
            </w:r>
          </w:p>
        </w:tc>
      </w:tr>
      <w:tr>
        <w:trPr>
          <w:cantSplit/>
        </w:trPr>
        <w:tc>
          <w:tcPr>
            <w:tcW w:type="dxa" w:w="3341"/>
            <w:vAlign w:val="center"/>
          </w:tcPr>
          <w:p>
            <w:r>
              <w:rPr>
                <w:sz w:val="16"/>
              </w:rPr>
              <w:t>TRD + data and state contracts</w:t>
            </w:r>
          </w:p>
        </w:tc>
        <w:tc>
          <w:tcPr>
            <w:tcW w:type="dxa" w:w="3341"/>
            <w:vAlign w:val="center"/>
          </w:tcPr>
          <w:p>
            <w:r>
              <w:t>AUTHORITATIVE v0.6</w:t>
            </w:r>
          </w:p>
        </w:tc>
        <w:tc>
          <w:tcPr>
            <w:tcW w:type="dxa" w:w="3341"/>
            <w:vAlign w:val="center"/>
          </w:tcPr>
          <w:p>
            <w:r>
              <w:t>New draft verify stream contract with preserved source/retrieval/privacy details</w:t>
            </w:r>
          </w:p>
        </w:tc>
      </w:tr>
      <w:tr>
        <w:trPr>
          <w:cantSplit/>
        </w:trPr>
        <w:tc>
          <w:tcPr>
            <w:tcW w:type="dxa" w:w="3341"/>
            <w:vAlign w:val="center"/>
            <w:shd w:fill="F3F6FA"/>
          </w:tcPr>
          <w:p>
            <w:pPr>
              <w:spacing w:after="20"/>
            </w:pPr>
            <w:r>
              <w:rPr>
                <w:sz w:val="16"/>
              </w:rPr>
              <w:t>Scenario and user journey catalogue</w:t>
            </w:r>
          </w:p>
        </w:tc>
        <w:tc>
          <w:tcPr>
            <w:tcW w:type="dxa" w:w="3341"/>
            <w:vAlign w:val="center"/>
            <w:shd w:fill="F3F6FA"/>
          </w:tcPr>
          <w:p>
            <w:pPr>
              <w:spacing w:after="20"/>
            </w:pPr>
            <w:r>
              <w:rPr>
                <w:sz w:val="16"/>
              </w:rPr>
              <w:t>SEE SECTION 2</w:t>
            </w:r>
          </w:p>
        </w:tc>
        <w:tc>
          <w:tcPr>
            <w:tcW w:type="dxa" w:w="3341"/>
            <w:vAlign w:val="center"/>
            <w:shd w:fill="F3F6FA"/>
          </w:tcPr>
          <w:p>
            <w:pPr>
              <w:spacing w:after="20"/>
            </w:pPr>
            <w:r>
              <w:rPr>
                <w:sz w:val="16"/>
              </w:rPr>
              <w:t>Populate manual-backed paths</w:t>
            </w:r>
          </w:p>
        </w:tc>
      </w:tr>
      <w:tr>
        <w:trPr>
          <w:cantSplit/>
        </w:trPr>
        <w:tc>
          <w:tcPr>
            <w:tcW w:type="dxa" w:w="3341"/>
            <w:vAlign w:val="center"/>
          </w:tcPr>
          <w:p>
            <w:pPr>
              <w:spacing w:after="20"/>
            </w:pPr>
            <w:r>
              <w:rPr>
                <w:sz w:val="16"/>
              </w:rPr>
              <w:t>Golden Q&amp;A set: 25–100</w:t>
            </w:r>
          </w:p>
        </w:tc>
        <w:tc>
          <w:tcPr>
            <w:tcW w:type="dxa" w:w="3341"/>
            <w:vAlign w:val="center"/>
          </w:tcPr>
          <w:p>
            <w:r>
              <w:t>161 exact initial/source scopes approved</w:t>
            </w:r>
          </w:p>
        </w:tc>
        <w:tc>
          <w:tcPr>
            <w:tcW w:type="dxa" w:w="3341"/>
            <w:vAlign w:val="center"/>
          </w:tcPr>
          <w:p>
            <w:r>
              <w:t>V3 coordinator approval is content/version bound; adaptive and held-out release evaluation remains open</w:t>
            </w:r>
          </w:p>
        </w:tc>
      </w:tr>
      <w:tr>
        <w:trPr>
          <w:cantSplit/>
        </w:trPr>
        <w:tc>
          <w:tcPr>
            <w:tcW w:type="dxa" w:w="3341"/>
            <w:vAlign w:val="center"/>
            <w:shd w:fill="F3F6FA"/>
          </w:tcPr>
          <w:p>
            <w:r>
              <w:rPr>
                <w:sz w:val="16"/>
              </w:rPr>
              <w:t>Safety, escalation and evidence policy</w:t>
            </w:r>
          </w:p>
        </w:tc>
        <w:tc>
          <w:tcPr>
            <w:tcW w:type="dxa" w:w="3341"/>
            <w:vAlign w:val="center"/>
            <w:shd w:fill="F3F6FA"/>
          </w:tcPr>
          <w:p>
            <w:r>
              <w:t>INTEGRATED bounded text gates; serving release pending</w:t>
            </w:r>
          </w:p>
        </w:tc>
        <w:tc>
          <w:tcPr>
            <w:tcW w:type="dxa" w:w="3341"/>
            <w:vAlign w:val="center"/>
            <w:shd w:fill="F3F6FA"/>
          </w:tcPr>
          <w:p>
            <w:r>
              <w:t>Retain five routes, warning/dependency/claim gates, typed outcomes and verified OEM route</w:t>
            </w:r>
          </w:p>
        </w:tc>
      </w:tr>
      <w:tr>
        <w:trPr>
          <w:cantSplit/>
        </w:trPr>
        <w:tc>
          <w:tcPr>
            <w:tcW w:type="dxa" w:w="3341"/>
            <w:vAlign w:val="center"/>
          </w:tcPr>
          <w:p>
            <w:r>
              <w:rPr>
                <w:sz w:val="16"/>
              </w:rPr>
              <w:t>Design choice / alternative log</w:t>
            </w:r>
          </w:p>
        </w:tc>
        <w:tc>
          <w:tcPr>
            <w:tcW w:type="dxa" w:w="3341"/>
            <w:vAlign w:val="center"/>
          </w:tcPr>
          <w:p>
            <w:r>
              <w:rPr>
                <w:sz w:val="16"/>
              </w:rPr>
              <w:t>UPDATED section 3 and change record</w:t>
            </w:r>
          </w:p>
        </w:tc>
        <w:tc>
          <w:tcPr>
            <w:tcW w:type="dxa" w:w="3341"/>
            <w:vAlign w:val="center"/>
          </w:tcPr>
          <w:p>
            <w:r>
              <w:rPr>
                <w:sz w:val="16"/>
              </w:rPr>
              <w:t>Held-out reviewed evidence required for reversal</w:t>
            </w:r>
          </w:p>
        </w:tc>
      </w:tr>
      <w:tr>
        <w:trPr>
          <w:cantSplit/>
        </w:trPr>
        <w:tc>
          <w:tcPr>
            <w:tcW w:type="dxa" w:w="3341"/>
            <w:vAlign w:val="center"/>
            <w:shd w:fill="F3F6FA"/>
          </w:tcPr>
          <w:p>
            <w:pPr>
              <w:spacing w:after="20"/>
            </w:pPr>
            <w:r>
              <w:rPr>
                <w:sz w:val="16"/>
              </w:rPr>
              <w:t>Observability and KPI scorecard</w:t>
            </w:r>
          </w:p>
        </w:tc>
        <w:tc>
          <w:tcPr>
            <w:tcW w:type="dxa" w:w="3341"/>
            <w:vAlign w:val="center"/>
            <w:shd w:fill="F3F6FA"/>
          </w:tcPr>
          <w:p>
            <w:r>
              <w:t>SECTIONS 5 AND 6; runtime pending</w:t>
            </w:r>
          </w:p>
        </w:tc>
        <w:tc>
          <w:tcPr>
            <w:tcW w:type="dxa" w:w="3341"/>
            <w:vAlign w:val="center"/>
            <w:shd w:fill="F3F6FA"/>
          </w:tcPr>
          <w:p>
            <w:pPr>
              <w:spacing w:after="20"/>
            </w:pPr>
            <w:r>
              <w:rPr>
                <w:sz w:val="16"/>
              </w:rPr>
              <w:t>Instrument runtime, collect baseline</w:t>
            </w:r>
          </w:p>
        </w:tc>
      </w:tr>
      <w:tr>
        <w:trPr>
          <w:cantSplit/>
        </w:trPr>
        <w:tc>
          <w:tcPr>
            <w:tcW w:type="dxa" w:w="3341"/>
            <w:vAlign w:val="center"/>
          </w:tcPr>
          <w:p>
            <w:r>
              <w:rPr>
                <w:sz w:val="16"/>
              </w:rPr>
              <w:t>Ingestion QA checklist</w:t>
            </w:r>
          </w:p>
        </w:tc>
        <w:tc>
          <w:tcPr>
            <w:tcW w:type="dxa" w:w="3341"/>
            <w:vAlign w:val="center"/>
          </w:tcPr>
          <w:p>
            <w:r>
              <w:rPr>
                <w:sz w:val="16"/>
              </w:rPr>
              <w:t>HOSTED candidate QA complete; review open</w:t>
            </w:r>
          </w:p>
        </w:tc>
        <w:tc>
          <w:tcPr>
            <w:tcW w:type="dxa" w:w="3341"/>
            <w:vAlign w:val="center"/>
          </w:tcPr>
          <w:p>
            <w:r>
              <w:rPr>
                <w:sz w:val="16"/>
              </w:rPr>
              <w:t>149 represented pages; page 103 fallback flagged; warning/procedure associations pending</w:t>
            </w:r>
          </w:p>
        </w:tc>
      </w:tr>
      <w:tr>
        <w:trPr>
          <w:cantSplit/>
        </w:trPr>
        <w:tc>
          <w:tcPr>
            <w:tcW w:type="dxa" w:w="3341"/>
            <w:vAlign w:val="center"/>
            <w:shd w:fill="F3F6FA"/>
          </w:tcPr>
          <w:p>
            <w:r>
              <w:rPr>
                <w:sz w:val="16"/>
              </w:rPr>
              <w:t>Evaluation run and ablation report</w:t>
            </w:r>
          </w:p>
        </w:tc>
        <w:tc>
          <w:tcPr>
            <w:tcW w:type="dxa" w:w="3341"/>
            <w:vAlign w:val="center"/>
            <w:shd w:fill="F3F6FA"/>
          </w:tcPr>
          <w:p>
            <w:r>
              <w:rPr>
                <w:sz w:val="16"/>
              </w:rPr>
              <w:t>DRAFT in-sample diagnostics complete</w:t>
            </w:r>
          </w:p>
        </w:tc>
        <w:tc>
          <w:tcPr>
            <w:tcW w:type="dxa" w:w="3341"/>
            <w:vAlign w:val="center"/>
            <w:shd w:fill="F3F6FA"/>
          </w:tcPr>
          <w:p>
            <w:r>
              <w:rPr>
                <w:sz w:val="16"/>
              </w:rPr>
              <w:t>Independent &gt;=25-case review, calibration and holdout pending</w:t>
            </w:r>
          </w:p>
        </w:tc>
      </w:tr>
      <w:tr>
        <w:trPr>
          <w:cantSplit/>
        </w:trPr>
        <w:tc>
          <w:tcPr>
            <w:tcW w:type="dxa" w:w="3341"/>
            <w:vAlign w:val="center"/>
          </w:tcPr>
          <w:p>
            <w:pPr>
              <w:spacing w:after="20"/>
            </w:pPr>
            <w:r>
              <w:rPr>
                <w:sz w:val="16"/>
              </w:rPr>
              <w:t>Security/privacy / misuse tests</w:t>
            </w:r>
          </w:p>
        </w:tc>
        <w:tc>
          <w:tcPr>
            <w:tcW w:type="dxa" w:w="3341"/>
            <w:vAlign w:val="center"/>
          </w:tcPr>
          <w:p>
            <w:r>
              <w:t>31 UI/boundary tests pass; hosted enforcement open</w:t>
            </w:r>
          </w:p>
        </w:tc>
        <w:tc>
          <w:tcPr>
            <w:tcW w:type="dxa" w:w="3341"/>
            <w:vAlign w:val="center"/>
          </w:tcPr>
          <w:p>
            <w:r>
              <w:t>Text/photo/context/quota/prompt binding checks; test actual identity, concurrency and retention in hosted service</w:t>
            </w:r>
          </w:p>
        </w:tc>
      </w:tr>
      <w:tr>
        <w:trPr>
          <w:cantSplit/>
        </w:trPr>
        <w:tc>
          <w:tcPr>
            <w:tcW w:type="dxa" w:w="3341"/>
            <w:vAlign w:val="center"/>
            <w:shd w:fill="F3F6FA"/>
          </w:tcPr>
          <w:p>
            <w:r>
              <w:rPr>
                <w:sz w:val="16"/>
              </w:rPr>
              <w:t>Deployment &amp; public demo guide</w:t>
            </w:r>
          </w:p>
        </w:tc>
        <w:tc>
          <w:tcPr>
            <w:tcW w:type="dxa" w:w="3341"/>
            <w:vAlign w:val="center"/>
            <w:shd w:fill="F3F6FA"/>
          </w:tcPr>
          <w:p>
            <w:r>
              <w:t>UI implemented; hosted rider API and deployment pending</w:t>
            </w:r>
          </w:p>
        </w:tc>
        <w:tc>
          <w:tcPr>
            <w:tcW w:type="dxa" w:w="3341"/>
            <w:vAlign w:val="center"/>
            <w:shd w:fill="F3F6FA"/>
          </w:tcPr>
          <w:p>
            <w:r>
              <w:t>Real browser-to-retrieval-to-gated-answer acceptance required; retrieval service alone is not rider API</w:t>
            </w:r>
          </w:p>
        </w:tc>
      </w:tr>
      <w:tr>
        <w:trPr>
          <w:cantSplit/>
        </w:trPr>
        <w:tc>
          <w:tcPr>
            <w:tcW w:type="dxa" w:w="3341"/>
            <w:vAlign w:val="center"/>
          </w:tcPr>
          <w:p>
            <w:r>
              <w:rPr>
                <w:sz w:val="16"/>
              </w:rPr>
              <w:t>README / known limitations / demo script</w:t>
            </w:r>
          </w:p>
        </w:tc>
        <w:tc>
          <w:tcPr>
            <w:tcW w:type="dxa" w:w="3341"/>
            <w:vAlign w:val="center"/>
          </w:tcPr>
          <w:p>
            <w:r>
              <w:rPr>
                <w:sz w:val="16"/>
              </w:rPr>
              <w:t>README exists; handover pending</w:t>
            </w:r>
          </w:p>
        </w:tc>
        <w:tc>
          <w:tcPr>
            <w:tcW w:type="dxa" w:w="3341"/>
            <w:vAlign w:val="center"/>
          </w:tcPr>
          <w:p>
            <w:r>
              <w:rPr>
                <w:sz w:val="16"/>
              </w:rPr>
              <w:t>Complete rider demo script, operations and rollback after release</w:t>
            </w:r>
          </w:p>
        </w:tc>
      </w:tr>
      <w:tr>
        <w:trPr>
          <w:cantSplit/>
        </w:trPr>
        <w:tc>
          <w:tcPr>
            <w:tcW w:type="dxa" w:w="3341"/>
            <w:vAlign w:val="center"/>
            <w:shd w:fill="F3F6FA"/>
          </w:tcPr>
          <w:p>
            <w:pPr>
              <w:spacing w:after="20"/>
            </w:pPr>
            <w:r>
              <w:rPr>
                <w:sz w:val="16"/>
              </w:rPr>
              <w:t>Source, license and configuration manifest</w:t>
            </w:r>
          </w:p>
        </w:tc>
        <w:tc>
          <w:tcPr>
            <w:tcW w:type="dxa" w:w="3341"/>
            <w:vAlign w:val="center"/>
            <w:shd w:fill="F3F6FA"/>
          </w:tcPr>
          <w:p>
            <w:r>
              <w:t>Exact approved Himalayan BS6 scope; citation metadata only</w:t>
            </w:r>
          </w:p>
        </w:tc>
        <w:tc>
          <w:tcPr>
            <w:tcW w:type="dxa" w:w="3341"/>
            <w:vAlign w:val="center"/>
            <w:shd w:fill="F3F6FA"/>
          </w:tcPr>
          <w:p>
            <w:r>
              <w:t>No rider PDF/excerpt/crop delivery; preserve exact source release scopes</w:t>
            </w:r>
          </w:p>
        </w:tc>
      </w:tr>
      <w:tr>
        <w:tc>
          <w:tcPr>
            <w:tcW w:type="dxa" w:w="3341"/>
          </w:tcPr>
          <w:p>
            <w:r>
              <w:rPr>
                <w:sz w:val="16"/>
              </w:rPr>
              <w:t>Guardrail implementation and safety regression suite</w:t>
            </w:r>
          </w:p>
        </w:tc>
        <w:tc>
          <w:tcPr>
            <w:tcW w:type="dxa" w:w="3341"/>
          </w:tcPr>
          <w:p>
            <w:r>
              <w:t>Runtime gates plus tested safeguard components; hosted integration open</w:t>
            </w:r>
          </w:p>
        </w:tc>
        <w:tc>
          <w:tcPr>
            <w:tcW w:type="dxa" w:w="3341"/>
          </w:tcPr>
          <w:p>
            <w:r>
              <w:t>Install managed admission, new prompt/context version, retention and actual browser regressions</w:t>
            </w:r>
          </w:p>
        </w:tc>
      </w:tr>
    </w:tbl>
    <w:p>
      <w:pPr>
        <w:spacing w:after="0"/>
      </w:pPr>
    </w:p>
    <w:p>
      <w:pPr>
        <w:pStyle w:val="Heading1"/>
      </w:pPr>
      <w:r>
        <w:rPr>
          <w:color w:val="000000"/>
        </w:rPr>
        <w:t>2  Scenario backlog (not golden answers)</w:t>
      </w:r>
    </w:p>
    <w:tbl>
      <w:tblPr>
        <w:tblStyle w:val="LightShading-Accent1"/>
        <w:tblW w:type="auto" w:w="0"/>
        <w:jc w:val="center"/>
        <w:tblLayout w:type="autofit"/>
        <w:tblLook w:firstColumn="1" w:firstRow="1" w:lastColumn="0" w:lastRow="0" w:noHBand="0" w:noVBand="1" w:val="04A0"/>
      </w:tblPr>
      <w:tblGrid>
        <w:gridCol w:w="2505"/>
        <w:gridCol w:w="2505"/>
        <w:gridCol w:w="2505"/>
        <w:gridCol w:w="2505"/>
      </w:tblGrid>
      <w:tr>
        <w:trPr>
          <w:tblHeader/>
        </w:trPr>
        <w:tc>
          <w:tcPr>
            <w:tcW w:type="dxa" w:w="2505"/>
            <w:shd w:fill="102238"/>
          </w:tcPr>
          <w:p>
            <w:pPr>
              <w:keepNext/>
            </w:pPr>
            <w:r>
              <w:rPr>
                <w:b/>
                <w:color w:val="FFFFFF"/>
                <w:sz w:val="16"/>
              </w:rPr>
              <w:t>ID</w:t>
            </w:r>
          </w:p>
        </w:tc>
        <w:tc>
          <w:tcPr>
            <w:tcW w:type="dxa" w:w="2505"/>
            <w:shd w:fill="102238"/>
          </w:tcPr>
          <w:p>
            <w:r>
              <w:rPr>
                <w:b/>
                <w:color w:val="FFFFFF"/>
                <w:sz w:val="16"/>
              </w:rPr>
              <w:t>Scenario</w:t>
            </w:r>
          </w:p>
        </w:tc>
        <w:tc>
          <w:tcPr>
            <w:tcW w:type="dxa" w:w="2505"/>
            <w:shd w:fill="102238"/>
          </w:tcPr>
          <w:p>
            <w:r>
              <w:rPr>
                <w:b/>
                <w:color w:val="FFFFFF"/>
                <w:sz w:val="16"/>
              </w:rPr>
              <w:t>Expected route</w:t>
            </w:r>
          </w:p>
        </w:tc>
        <w:tc>
          <w:tcPr>
            <w:tcW w:type="dxa" w:w="2505"/>
            <w:shd w:fill="102238"/>
          </w:tcPr>
          <w:p>
            <w:r>
              <w:rPr>
                <w:b/>
                <w:color w:val="FFFFFF"/>
                <w:sz w:val="16"/>
              </w:rPr>
              <w:t>Modality</w:t>
            </w:r>
          </w:p>
        </w:tc>
      </w:tr>
      <w:tr>
        <w:trPr>
          <w:cantSplit/>
        </w:trPr>
        <w:tc>
          <w:tcPr>
            <w:tcW w:type="dxa" w:w="2505"/>
            <w:vAlign w:val="center"/>
          </w:tcPr>
          <w:p>
            <w:pPr>
              <w:spacing w:after="20"/>
            </w:pPr>
            <w:r>
              <w:rPr>
                <w:sz w:val="16"/>
              </w:rPr>
              <w:t>SC-01</w:t>
            </w:r>
          </w:p>
        </w:tc>
        <w:tc>
          <w:tcPr>
            <w:tcW w:type="dxa" w:w="2505"/>
            <w:vAlign w:val="center"/>
          </w:tcPr>
          <w:p>
            <w:pPr>
              <w:spacing w:after="20"/>
            </w:pPr>
            <w:r>
              <w:rPr>
                <w:sz w:val="16"/>
              </w:rPr>
              <w:t>Exact documented procedure</w:t>
            </w:r>
          </w:p>
        </w:tc>
        <w:tc>
          <w:tcPr>
            <w:tcW w:type="dxa" w:w="2505"/>
            <w:vAlign w:val="center"/>
          </w:tcPr>
          <w:p>
            <w:r>
              <w:rPr>
                <w:sz w:val="16"/>
              </w:rPr>
              <w:t>SUPPORTED</w:t>
            </w:r>
          </w:p>
        </w:tc>
        <w:tc>
          <w:tcPr>
            <w:tcW w:type="dxa" w:w="2505"/>
            <w:vAlign w:val="center"/>
          </w:tcPr>
          <w:p>
            <w:pPr>
              <w:spacing w:after="20"/>
            </w:pPr>
            <w:r>
              <w:rPr>
                <w:sz w:val="16"/>
              </w:rPr>
              <w:t>Text</w:t>
            </w:r>
          </w:p>
        </w:tc>
      </w:tr>
      <w:tr>
        <w:trPr>
          <w:cantSplit/>
        </w:trPr>
        <w:tc>
          <w:tcPr>
            <w:tcW w:type="dxa" w:w="2505"/>
            <w:vAlign w:val="center"/>
            <w:shd w:fill="F3F6FA"/>
          </w:tcPr>
          <w:p>
            <w:pPr>
              <w:spacing w:after="20"/>
            </w:pPr>
            <w:r>
              <w:rPr>
                <w:sz w:val="16"/>
              </w:rPr>
              <w:t>SC-02</w:t>
            </w:r>
          </w:p>
        </w:tc>
        <w:tc>
          <w:tcPr>
            <w:tcW w:type="dxa" w:w="2505"/>
            <w:vAlign w:val="center"/>
            <w:shd w:fill="F3F6FA"/>
          </w:tcPr>
          <w:p>
            <w:pPr>
              <w:spacing w:after="20"/>
            </w:pPr>
            <w:r>
              <w:rPr>
                <w:sz w:val="16"/>
              </w:rPr>
              <w:t>Ambiguous no-start symptom</w:t>
            </w:r>
          </w:p>
        </w:tc>
        <w:tc>
          <w:tcPr>
            <w:tcW w:type="dxa" w:w="2505"/>
            <w:vAlign w:val="center"/>
            <w:shd w:fill="F3F6FA"/>
          </w:tcPr>
          <w:p>
            <w:r>
              <w:rPr>
                <w:sz w:val="16"/>
              </w:rPr>
              <w:t>AMBIGUOUS</w:t>
            </w:r>
          </w:p>
        </w:tc>
        <w:tc>
          <w:tcPr>
            <w:tcW w:type="dxa" w:w="2505"/>
            <w:vAlign w:val="center"/>
            <w:shd w:fill="F3F6FA"/>
          </w:tcPr>
          <w:p>
            <w:pPr>
              <w:spacing w:after="20"/>
            </w:pPr>
            <w:r>
              <w:rPr>
                <w:sz w:val="16"/>
              </w:rPr>
              <w:t>Text</w:t>
            </w:r>
          </w:p>
        </w:tc>
      </w:tr>
      <w:tr>
        <w:trPr>
          <w:cantSplit/>
        </w:trPr>
        <w:tc>
          <w:tcPr>
            <w:tcW w:type="dxa" w:w="2505"/>
            <w:vAlign w:val="center"/>
          </w:tcPr>
          <w:p>
            <w:pPr>
              <w:spacing w:after="20"/>
            </w:pPr>
            <w:r>
              <w:rPr>
                <w:sz w:val="16"/>
              </w:rPr>
              <w:t>SC-03</w:t>
            </w:r>
          </w:p>
        </w:tc>
        <w:tc>
          <w:tcPr>
            <w:tcW w:type="dxa" w:w="2505"/>
            <w:vAlign w:val="center"/>
          </w:tcPr>
          <w:p>
            <w:pPr>
              <w:spacing w:after="20"/>
            </w:pPr>
            <w:r>
              <w:rPr>
                <w:sz w:val="16"/>
              </w:rPr>
              <w:t>Owner reports a normal inspection</w:t>
            </w:r>
          </w:p>
        </w:tc>
        <w:tc>
          <w:tcPr>
            <w:tcW w:type="dxa" w:w="2505"/>
            <w:vAlign w:val="center"/>
          </w:tcPr>
          <w:p>
            <w:r>
              <w:rPr>
                <w:sz w:val="16"/>
              </w:rPr>
              <w:t>Re-evaluate eligible next step;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SC-04</w:t>
            </w:r>
          </w:p>
        </w:tc>
        <w:tc>
          <w:tcPr>
            <w:tcW w:type="dxa" w:w="2505"/>
            <w:vAlign w:val="center"/>
            <w:shd w:fill="F3F6FA"/>
          </w:tcPr>
          <w:p>
            <w:pPr>
              <w:spacing w:after="20"/>
            </w:pPr>
            <w:r>
              <w:rPr>
                <w:sz w:val="16"/>
              </w:rPr>
              <w:t>Tried action without fixing symptom</w:t>
            </w:r>
          </w:p>
        </w:tc>
        <w:tc>
          <w:tcPr>
            <w:tcW w:type="dxa" w:w="2505"/>
            <w:vAlign w:val="center"/>
            <w:shd w:fill="F3F6FA"/>
          </w:tcPr>
          <w:p>
            <w:r>
              <w:rPr>
                <w:sz w:val="16"/>
              </w:rPr>
              <w:t>Re-evaluate eligible next step; unresolved is not normal</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SC-05</w:t>
            </w:r>
          </w:p>
        </w:tc>
        <w:tc>
          <w:tcPr>
            <w:tcW w:type="dxa" w:w="2505"/>
            <w:vAlign w:val="center"/>
          </w:tcPr>
          <w:p>
            <w:pPr>
              <w:spacing w:after="20"/>
            </w:pPr>
            <w:r>
              <w:rPr>
                <w:sz w:val="16"/>
              </w:rPr>
              <w:t>Inapplicable component/variant</w:t>
            </w:r>
          </w:p>
        </w:tc>
        <w:tc>
          <w:tcPr>
            <w:tcW w:type="dxa" w:w="2505"/>
            <w:vAlign w:val="center"/>
          </w:tcPr>
          <w:p>
            <w:r>
              <w:rPr>
                <w:sz w:val="16"/>
              </w:rPr>
              <w:t>AMBIGUOUS or UNSUPPORTED; block action</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SC-06</w:t>
            </w:r>
          </w:p>
        </w:tc>
        <w:tc>
          <w:tcPr>
            <w:tcW w:type="dxa" w:w="2505"/>
            <w:vAlign w:val="center"/>
            <w:shd w:fill="F3F6FA"/>
          </w:tcPr>
          <w:p>
            <w:pPr>
              <w:spacing w:after="20"/>
            </w:pPr>
            <w:r>
              <w:rPr>
                <w:sz w:val="16"/>
              </w:rPr>
              <w:t>Documented abnormal result</w:t>
            </w:r>
          </w:p>
        </w:tc>
        <w:tc>
          <w:tcPr>
            <w:tcW w:type="dxa" w:w="2505"/>
            <w:vAlign w:val="center"/>
            <w:shd w:fill="F3F6FA"/>
          </w:tcPr>
          <w:p>
            <w:r>
              <w:rPr>
                <w:sz w:val="16"/>
              </w:rPr>
              <w:t>SUPPORTED or UNSUPPORTED</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SC-07</w:t>
            </w:r>
          </w:p>
        </w:tc>
        <w:tc>
          <w:tcPr>
            <w:tcW w:type="dxa" w:w="2505"/>
            <w:vAlign w:val="center"/>
          </w:tcPr>
          <w:p>
            <w:pPr>
              <w:spacing w:after="20"/>
            </w:pPr>
            <w:r>
              <w:rPr>
                <w:sz w:val="16"/>
              </w:rPr>
              <w:t>Customer cannot observe test result</w:t>
            </w:r>
          </w:p>
        </w:tc>
        <w:tc>
          <w:tcPr>
            <w:tcW w:type="dxa" w:w="2505"/>
            <w:vAlign w:val="center"/>
          </w:tcPr>
          <w:p>
            <w:r>
              <w:rPr>
                <w:sz w:val="16"/>
              </w:rPr>
              <w:t>AMBIGUOUS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SC-08</w:t>
            </w:r>
          </w:p>
        </w:tc>
        <w:tc>
          <w:tcPr>
            <w:tcW w:type="dxa" w:w="2505"/>
            <w:vAlign w:val="center"/>
            <w:shd w:fill="F3F6FA"/>
          </w:tcPr>
          <w:p>
            <w:pPr>
              <w:spacing w:after="20"/>
            </w:pPr>
            <w:r>
              <w:rPr>
                <w:sz w:val="16"/>
              </w:rPr>
              <w:t>All documented steps exhausted</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SC-09</w:t>
            </w:r>
          </w:p>
        </w:tc>
        <w:tc>
          <w:tcPr>
            <w:tcW w:type="dxa" w:w="2505"/>
            <w:vAlign w:val="center"/>
          </w:tcPr>
          <w:p>
            <w:pPr>
              <w:spacing w:after="20"/>
            </w:pPr>
            <w:r>
              <w:rPr>
                <w:sz w:val="16"/>
              </w:rPr>
              <w:t>User corrects earlier observation</w:t>
            </w:r>
          </w:p>
        </w:tc>
        <w:tc>
          <w:tcPr>
            <w:tcW w:type="dxa" w:w="2505"/>
            <w:vAlign w:val="center"/>
          </w:tcPr>
          <w:p>
            <w:r>
              <w:rPr>
                <w:sz w:val="16"/>
              </w:rPr>
              <w:t>Supersede fact; re-evaluate;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SC-10</w:t>
            </w:r>
          </w:p>
        </w:tc>
        <w:tc>
          <w:tcPr>
            <w:tcW w:type="dxa" w:w="2505"/>
            <w:vAlign w:val="center"/>
            <w:shd w:fill="F3F6FA"/>
          </w:tcPr>
          <w:p>
            <w:pPr>
              <w:spacing w:after="20"/>
            </w:pPr>
            <w:r>
              <w:rPr>
                <w:sz w:val="16"/>
              </w:rPr>
              <w:t>New symptom after earlier elimination</w:t>
            </w:r>
          </w:p>
        </w:tc>
        <w:tc>
          <w:tcPr>
            <w:tcW w:type="dxa" w:w="2505"/>
            <w:vAlign w:val="center"/>
            <w:shd w:fill="F3F6FA"/>
          </w:tcPr>
          <w:p>
            <w:r>
              <w:rPr>
                <w:sz w:val="16"/>
              </w:rPr>
              <w:t>Re-evaluate applicability; gate final status</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SC-11</w:t>
            </w:r>
          </w:p>
        </w:tc>
        <w:tc>
          <w:tcPr>
            <w:tcW w:type="dxa" w:w="2505"/>
            <w:vAlign w:val="center"/>
          </w:tcPr>
          <w:p>
            <w:pPr>
              <w:spacing w:after="20"/>
            </w:pPr>
            <w:r>
              <w:rPr>
                <w:sz w:val="16"/>
              </w:rPr>
              <w:t>Prior step repeated erroneously</w:t>
            </w:r>
          </w:p>
        </w:tc>
        <w:tc>
          <w:tcPr>
            <w:tcW w:type="dxa" w:w="2505"/>
            <w:vAlign w:val="center"/>
          </w:tcPr>
          <w:p>
            <w:r>
              <w:rPr>
                <w:sz w:val="16"/>
              </w:rPr>
              <w:t>Reject unjustified repeat;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SC-12</w:t>
            </w:r>
          </w:p>
        </w:tc>
        <w:tc>
          <w:tcPr>
            <w:tcW w:type="dxa" w:w="2505"/>
            <w:vAlign w:val="center"/>
            <w:shd w:fill="F3F6FA"/>
          </w:tcPr>
          <w:p>
            <w:pPr>
              <w:spacing w:after="20"/>
            </w:pPr>
            <w:r>
              <w:rPr>
                <w:sz w:val="16"/>
              </w:rPr>
              <w:t>Root cause unsupported by photo</w:t>
            </w:r>
          </w:p>
        </w:tc>
        <w:tc>
          <w:tcPr>
            <w:tcW w:type="dxa" w:w="2505"/>
            <w:vAlign w:val="center"/>
            <w:shd w:fill="F3F6FA"/>
          </w:tcPr>
          <w:p>
            <w:r>
              <w:rPr>
                <w:sz w:val="16"/>
              </w:rPr>
              <w:t>AMBIGUOUS or UNSUPPORTED</w:t>
            </w:r>
          </w:p>
        </w:tc>
        <w:tc>
          <w:tcPr>
            <w:tcW w:type="dxa" w:w="2505"/>
            <w:vAlign w:val="center"/>
            <w:shd w:fill="F3F6FA"/>
          </w:tcPr>
          <w:p>
            <w:pPr>
              <w:spacing w:after="20"/>
            </w:pPr>
            <w:r>
              <w:rPr>
                <w:sz w:val="16"/>
              </w:rPr>
              <w:t>Image</w:t>
            </w:r>
          </w:p>
        </w:tc>
      </w:tr>
      <w:tr>
        <w:trPr>
          <w:cantSplit/>
        </w:trPr>
        <w:tc>
          <w:tcPr>
            <w:tcW w:type="dxa" w:w="2505"/>
            <w:vAlign w:val="center"/>
          </w:tcPr>
          <w:p>
            <w:pPr>
              <w:spacing w:after="20"/>
            </w:pPr>
            <w:r>
              <w:rPr>
                <w:sz w:val="16"/>
              </w:rPr>
              <w:t>SC-13</w:t>
            </w:r>
          </w:p>
        </w:tc>
        <w:tc>
          <w:tcPr>
            <w:tcW w:type="dxa" w:w="2505"/>
            <w:vAlign w:val="center"/>
          </w:tcPr>
          <w:p>
            <w:pPr>
              <w:spacing w:after="20"/>
            </w:pPr>
            <w:r>
              <w:rPr>
                <w:sz w:val="16"/>
              </w:rPr>
              <w:t>Clear dashboard indicator</w:t>
            </w:r>
          </w:p>
        </w:tc>
        <w:tc>
          <w:tcPr>
            <w:tcW w:type="dxa" w:w="2505"/>
            <w:vAlign w:val="center"/>
          </w:tcPr>
          <w:p>
            <w:r>
              <w:rPr>
                <w:sz w:val="16"/>
              </w:rPr>
              <w:t>SUPPORTED or AMBIGUOUS</w:t>
            </w:r>
          </w:p>
        </w:tc>
        <w:tc>
          <w:tcPr>
            <w:tcW w:type="dxa" w:w="2505"/>
            <w:vAlign w:val="center"/>
          </w:tcPr>
          <w:p>
            <w:pPr>
              <w:spacing w:after="20"/>
            </w:pPr>
            <w:r>
              <w:rPr>
                <w:sz w:val="16"/>
              </w:rPr>
              <w:t>Image</w:t>
            </w:r>
          </w:p>
        </w:tc>
      </w:tr>
      <w:tr>
        <w:trPr>
          <w:cantSplit/>
        </w:trPr>
        <w:tc>
          <w:tcPr>
            <w:tcW w:type="dxa" w:w="2505"/>
            <w:vAlign w:val="center"/>
            <w:shd w:fill="F3F6FA"/>
          </w:tcPr>
          <w:p>
            <w:pPr>
              <w:spacing w:after="20"/>
            </w:pPr>
            <w:r>
              <w:rPr>
                <w:sz w:val="16"/>
              </w:rPr>
              <w:t>SC-14</w:t>
            </w:r>
          </w:p>
        </w:tc>
        <w:tc>
          <w:tcPr>
            <w:tcW w:type="dxa" w:w="2505"/>
            <w:vAlign w:val="center"/>
            <w:shd w:fill="F3F6FA"/>
          </w:tcPr>
          <w:p>
            <w:pPr>
              <w:spacing w:after="20"/>
            </w:pPr>
            <w:r>
              <w:rPr>
                <w:sz w:val="16"/>
              </w:rPr>
              <w:t>Blurry warning-light image</w:t>
            </w:r>
          </w:p>
        </w:tc>
        <w:tc>
          <w:tcPr>
            <w:tcW w:type="dxa" w:w="2505"/>
            <w:vAlign w:val="center"/>
            <w:shd w:fill="F3F6FA"/>
          </w:tcPr>
          <w:p>
            <w:r>
              <w:rPr>
                <w:sz w:val="16"/>
              </w:rPr>
              <w:t>AMBIGUOUS</w:t>
            </w:r>
          </w:p>
        </w:tc>
        <w:tc>
          <w:tcPr>
            <w:tcW w:type="dxa" w:w="2505"/>
            <w:vAlign w:val="center"/>
            <w:shd w:fill="F3F6FA"/>
          </w:tcPr>
          <w:p>
            <w:pPr>
              <w:spacing w:after="20"/>
            </w:pPr>
            <w:r>
              <w:rPr>
                <w:sz w:val="16"/>
              </w:rPr>
              <w:t>Image</w:t>
            </w:r>
          </w:p>
        </w:tc>
      </w:tr>
      <w:tr>
        <w:trPr>
          <w:cantSplit/>
        </w:trPr>
        <w:tc>
          <w:tcPr>
            <w:tcW w:type="dxa" w:w="2505"/>
            <w:vAlign w:val="center"/>
          </w:tcPr>
          <w:p>
            <w:pPr>
              <w:spacing w:after="20"/>
            </w:pPr>
            <w:r>
              <w:rPr>
                <w:sz w:val="16"/>
              </w:rPr>
              <w:t>SC-15</w:t>
            </w:r>
          </w:p>
        </w:tc>
        <w:tc>
          <w:tcPr>
            <w:tcW w:type="dxa" w:w="2505"/>
            <w:vAlign w:val="center"/>
          </w:tcPr>
          <w:p>
            <w:pPr>
              <w:spacing w:after="20"/>
            </w:pPr>
            <w:r>
              <w:rPr>
                <w:sz w:val="16"/>
              </w:rPr>
              <w:t>Photo suggests wrong motorcycle variant</w:t>
            </w:r>
          </w:p>
        </w:tc>
        <w:tc>
          <w:tcPr>
            <w:tcW w:type="dxa" w:w="2505"/>
            <w:vAlign w:val="center"/>
          </w:tcPr>
          <w:p>
            <w:r>
              <w:rPr>
                <w:sz w:val="16"/>
              </w:rPr>
              <w:t>AMBIGUOUS or UNSUPPORTED; block action</w:t>
            </w:r>
          </w:p>
        </w:tc>
        <w:tc>
          <w:tcPr>
            <w:tcW w:type="dxa" w:w="2505"/>
            <w:vAlign w:val="center"/>
          </w:tcPr>
          <w:p>
            <w:pPr>
              <w:spacing w:after="20"/>
            </w:pPr>
            <w:r>
              <w:rPr>
                <w:sz w:val="16"/>
              </w:rPr>
              <w:t>Image</w:t>
            </w:r>
          </w:p>
        </w:tc>
      </w:tr>
      <w:tr>
        <w:trPr>
          <w:cantSplit/>
        </w:trPr>
        <w:tc>
          <w:tcPr>
            <w:tcW w:type="dxa" w:w="2505"/>
            <w:vAlign w:val="center"/>
            <w:shd w:fill="F3F6FA"/>
          </w:tcPr>
          <w:p>
            <w:pPr>
              <w:spacing w:after="20"/>
            </w:pPr>
            <w:r>
              <w:rPr>
                <w:sz w:val="16"/>
              </w:rPr>
              <w:t>SC-16</w:t>
            </w:r>
          </w:p>
        </w:tc>
        <w:tc>
          <w:tcPr>
            <w:tcW w:type="dxa" w:w="2505"/>
            <w:vAlign w:val="center"/>
            <w:shd w:fill="F3F6FA"/>
          </w:tcPr>
          <w:p>
            <w:pPr>
              <w:spacing w:after="20"/>
            </w:pPr>
            <w:r>
              <w:rPr>
                <w:sz w:val="16"/>
              </w:rPr>
              <w:t>Procedure needs table specifications</w:t>
            </w:r>
          </w:p>
        </w:tc>
        <w:tc>
          <w:tcPr>
            <w:tcW w:type="dxa" w:w="2505"/>
            <w:vAlign w:val="center"/>
            <w:shd w:fill="F3F6FA"/>
          </w:tcPr>
          <w:p>
            <w:r>
              <w:rPr>
                <w:sz w:val="16"/>
              </w:rPr>
              <w:t>SUPPORTED only with complete approved dependencies</w:t>
            </w:r>
          </w:p>
        </w:tc>
        <w:tc>
          <w:tcPr>
            <w:tcW w:type="dxa" w:w="2505"/>
            <w:vAlign w:val="center"/>
            <w:shd w:fill="F3F6FA"/>
          </w:tcPr>
          <w:p>
            <w:pPr>
              <w:spacing w:after="20"/>
            </w:pPr>
            <w:r>
              <w:rPr>
                <w:sz w:val="16"/>
              </w:rPr>
              <w:t>Table</w:t>
            </w:r>
          </w:p>
        </w:tc>
      </w:tr>
      <w:tr>
        <w:trPr>
          <w:cantSplit/>
        </w:trPr>
        <w:tc>
          <w:tcPr>
            <w:tcW w:type="dxa" w:w="2505"/>
            <w:vAlign w:val="center"/>
          </w:tcPr>
          <w:p>
            <w:pPr>
              <w:spacing w:after="20"/>
            </w:pPr>
            <w:r>
              <w:rPr>
                <w:sz w:val="16"/>
              </w:rPr>
              <w:t>SC-17</w:t>
            </w:r>
          </w:p>
        </w:tc>
        <w:tc>
          <w:tcPr>
            <w:tcW w:type="dxa" w:w="2505"/>
            <w:vAlign w:val="center"/>
          </w:tcPr>
          <w:p>
            <w:pPr>
              <w:spacing w:after="20"/>
            </w:pPr>
            <w:r>
              <w:rPr>
                <w:sz w:val="16"/>
              </w:rPr>
              <w:t>Cross-reference to separate warning</w:t>
            </w:r>
          </w:p>
        </w:tc>
        <w:tc>
          <w:tcPr>
            <w:tcW w:type="dxa" w:w="2505"/>
            <w:vAlign w:val="center"/>
          </w:tcPr>
          <w:p>
            <w:r>
              <w:rPr>
                <w:sz w:val="16"/>
              </w:rPr>
              <w:t>SUPPORTED with required warning</w:t>
            </w:r>
          </w:p>
        </w:tc>
        <w:tc>
          <w:tcPr>
            <w:tcW w:type="dxa" w:w="2505"/>
            <w:vAlign w:val="center"/>
          </w:tcPr>
          <w:p>
            <w:pPr>
              <w:spacing w:after="20"/>
            </w:pPr>
            <w:r>
              <w:rPr>
                <w:sz w:val="16"/>
              </w:rPr>
              <w:t>Multi-section</w:t>
            </w:r>
          </w:p>
        </w:tc>
      </w:tr>
      <w:tr>
        <w:trPr>
          <w:cantSplit/>
        </w:trPr>
        <w:tc>
          <w:tcPr>
            <w:tcW w:type="dxa" w:w="2505"/>
            <w:vAlign w:val="center"/>
            <w:shd w:fill="F3F6FA"/>
          </w:tcPr>
          <w:p>
            <w:pPr>
              <w:spacing w:after="20"/>
            </w:pPr>
            <w:r>
              <w:rPr>
                <w:sz w:val="16"/>
              </w:rPr>
              <w:t>SC-18</w:t>
            </w:r>
          </w:p>
        </w:tc>
        <w:tc>
          <w:tcPr>
            <w:tcW w:type="dxa" w:w="2505"/>
            <w:vAlign w:val="center"/>
            <w:shd w:fill="F3F6FA"/>
          </w:tcPr>
          <w:p>
            <w:pPr>
              <w:spacing w:after="20"/>
            </w:pPr>
            <w:r>
              <w:rPr>
                <w:sz w:val="16"/>
              </w:rPr>
              <w:t>Separate prerequisite and action</w:t>
            </w:r>
          </w:p>
        </w:tc>
        <w:tc>
          <w:tcPr>
            <w:tcW w:type="dxa" w:w="2505"/>
            <w:vAlign w:val="center"/>
            <w:shd w:fill="F3F6FA"/>
          </w:tcPr>
          <w:p>
            <w:r>
              <w:rPr>
                <w:sz w:val="16"/>
              </w:rPr>
              <w:t>SUPPORTED with prerequisite and action</w:t>
            </w:r>
          </w:p>
        </w:tc>
        <w:tc>
          <w:tcPr>
            <w:tcW w:type="dxa" w:w="2505"/>
            <w:vAlign w:val="center"/>
            <w:shd w:fill="F3F6FA"/>
          </w:tcPr>
          <w:p>
            <w:pPr>
              <w:spacing w:after="20"/>
            </w:pPr>
            <w:r>
              <w:rPr>
                <w:sz w:val="16"/>
              </w:rPr>
              <w:t>Multi-section</w:t>
            </w:r>
          </w:p>
        </w:tc>
      </w:tr>
      <w:tr>
        <w:trPr>
          <w:cantSplit/>
        </w:trPr>
        <w:tc>
          <w:tcPr>
            <w:tcW w:type="dxa" w:w="2505"/>
            <w:vAlign w:val="center"/>
          </w:tcPr>
          <w:p>
            <w:pPr>
              <w:spacing w:after="20"/>
            </w:pPr>
            <w:r>
              <w:rPr>
                <w:sz w:val="16"/>
              </w:rPr>
              <w:t>SC-19</w:t>
            </w:r>
          </w:p>
        </w:tc>
        <w:tc>
          <w:tcPr>
            <w:tcW w:type="dxa" w:w="2505"/>
            <w:vAlign w:val="center"/>
          </w:tcPr>
          <w:p>
            <w:pPr>
              <w:spacing w:after="20"/>
            </w:pPr>
            <w:r>
              <w:rPr>
                <w:sz w:val="16"/>
              </w:rPr>
              <w:t>Unclear unit or split table header</w:t>
            </w:r>
          </w:p>
        </w:tc>
        <w:tc>
          <w:tcPr>
            <w:tcW w:type="dxa" w:w="2505"/>
            <w:vAlign w:val="center"/>
          </w:tcPr>
          <w:p>
            <w:r>
              <w:rPr>
                <w:sz w:val="16"/>
              </w:rPr>
              <w:t>UNSUPPORTED and source review</w:t>
            </w:r>
          </w:p>
        </w:tc>
        <w:tc>
          <w:tcPr>
            <w:tcW w:type="dxa" w:w="2505"/>
            <w:vAlign w:val="center"/>
          </w:tcPr>
          <w:p>
            <w:pPr>
              <w:spacing w:after="20"/>
            </w:pPr>
            <w:r>
              <w:rPr>
                <w:sz w:val="16"/>
              </w:rPr>
              <w:t>Table</w:t>
            </w:r>
          </w:p>
        </w:tc>
      </w:tr>
      <w:tr>
        <w:trPr>
          <w:cantSplit/>
        </w:trPr>
        <w:tc>
          <w:tcPr>
            <w:tcW w:type="dxa" w:w="2505"/>
            <w:vAlign w:val="center"/>
            <w:shd w:fill="F3F6FA"/>
          </w:tcPr>
          <w:p>
            <w:pPr>
              <w:spacing w:after="20"/>
            </w:pPr>
            <w:r>
              <w:rPr>
                <w:sz w:val="16"/>
              </w:rPr>
              <w:t>SC-20</w:t>
            </w:r>
          </w:p>
        </w:tc>
        <w:tc>
          <w:tcPr>
            <w:tcW w:type="dxa" w:w="2505"/>
            <w:vAlign w:val="center"/>
            <w:shd w:fill="F3F6FA"/>
          </w:tcPr>
          <w:p>
            <w:pPr>
              <w:spacing w:after="20"/>
            </w:pPr>
            <w:r>
              <w:rPr>
                <w:sz w:val="16"/>
              </w:rPr>
              <w:t>Essential unlabeled diagram</w:t>
            </w:r>
          </w:p>
        </w:tc>
        <w:tc>
          <w:tcPr>
            <w:tcW w:type="dxa" w:w="2505"/>
            <w:vAlign w:val="center"/>
            <w:shd w:fill="F3F6FA"/>
          </w:tcPr>
          <w:p>
            <w:r>
              <w:rPr>
                <w:sz w:val="16"/>
              </w:rPr>
              <w:t>UNSUPPORTED and source review</w:t>
            </w:r>
          </w:p>
        </w:tc>
        <w:tc>
          <w:tcPr>
            <w:tcW w:type="dxa" w:w="2505"/>
            <w:vAlign w:val="center"/>
            <w:shd w:fill="F3F6FA"/>
          </w:tcPr>
          <w:p>
            <w:pPr>
              <w:spacing w:after="20"/>
            </w:pPr>
            <w:r>
              <w:rPr>
                <w:sz w:val="16"/>
              </w:rPr>
              <w:t>Diagram</w:t>
            </w:r>
          </w:p>
        </w:tc>
      </w:tr>
      <w:tr>
        <w:trPr>
          <w:cantSplit/>
        </w:trPr>
        <w:tc>
          <w:tcPr>
            <w:tcW w:type="dxa" w:w="2505"/>
            <w:vAlign w:val="center"/>
          </w:tcPr>
          <w:p>
            <w:pPr>
              <w:spacing w:after="20"/>
            </w:pPr>
            <w:r>
              <w:rPr>
                <w:sz w:val="16"/>
              </w:rPr>
              <w:t>SC-21</w:t>
            </w:r>
          </w:p>
        </w:tc>
        <w:tc>
          <w:tcPr>
            <w:tcW w:type="dxa" w:w="2505"/>
            <w:vAlign w:val="center"/>
          </w:tcPr>
          <w:p>
            <w:pPr>
              <w:spacing w:after="20"/>
            </w:pPr>
            <w:r>
              <w:rPr>
                <w:sz w:val="16"/>
              </w:rPr>
              <w:t>Undocumented repair modification</w:t>
            </w:r>
          </w:p>
        </w:tc>
        <w:tc>
          <w:tcPr>
            <w:tcW w:type="dxa" w:w="2505"/>
            <w:vAlign w:val="center"/>
          </w:tcPr>
          <w:p>
            <w:r>
              <w:rPr>
                <w:sz w:val="16"/>
              </w:rPr>
              <w:t>UNSUPPORTED and verified OEM support</w:t>
            </w:r>
          </w:p>
        </w:tc>
        <w:tc>
          <w:tcPr>
            <w:tcW w:type="dxa" w:w="2505"/>
            <w:vAlign w:val="center"/>
          </w:tcPr>
          <w:p>
            <w:pPr>
              <w:spacing w:after="20"/>
            </w:pPr>
            <w:r>
              <w:rPr>
                <w:sz w:val="16"/>
              </w:rPr>
              <w:t>Text</w:t>
            </w:r>
          </w:p>
        </w:tc>
      </w:tr>
      <w:tr>
        <w:trPr>
          <w:cantSplit/>
        </w:trPr>
        <w:tc>
          <w:tcPr>
            <w:tcW w:type="dxa" w:w="2505"/>
            <w:vAlign w:val="center"/>
            <w:shd w:fill="F3F6FA"/>
          </w:tcPr>
          <w:p>
            <w:pPr>
              <w:spacing w:after="20"/>
            </w:pPr>
            <w:r>
              <w:rPr>
                <w:sz w:val="16"/>
              </w:rPr>
              <w:t>SC-22</w:t>
            </w:r>
          </w:p>
        </w:tc>
        <w:tc>
          <w:tcPr>
            <w:tcW w:type="dxa" w:w="2505"/>
            <w:vAlign w:val="center"/>
            <w:shd w:fill="F3F6FA"/>
          </w:tcPr>
          <w:p>
            <w:pPr>
              <w:spacing w:after="20"/>
            </w:pPr>
            <w:r>
              <w:rPr>
                <w:sz w:val="16"/>
              </w:rPr>
              <w:t>Question outside selected manual</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Text</w:t>
            </w:r>
          </w:p>
        </w:tc>
      </w:tr>
      <w:tr>
        <w:trPr>
          <w:cantSplit/>
        </w:trPr>
        <w:tc>
          <w:tcPr>
            <w:tcW w:type="dxa" w:w="2505"/>
            <w:vAlign w:val="center"/>
          </w:tcPr>
          <w:p>
            <w:pPr>
              <w:spacing w:after="20"/>
            </w:pPr>
            <w:r>
              <w:rPr>
                <w:sz w:val="16"/>
              </w:rPr>
              <w:t>SC-23</w:t>
            </w:r>
          </w:p>
        </w:tc>
        <w:tc>
          <w:tcPr>
            <w:tcW w:type="dxa" w:w="2505"/>
            <w:vAlign w:val="center"/>
          </w:tcPr>
          <w:p>
            <w:pPr>
              <w:spacing w:after="20"/>
            </w:pPr>
            <w:r>
              <w:rPr>
                <w:sz w:val="16"/>
              </w:rPr>
              <w:t>Manual belongs to different year</w:t>
            </w:r>
          </w:p>
        </w:tc>
        <w:tc>
          <w:tcPr>
            <w:tcW w:type="dxa" w:w="2505"/>
            <w:vAlign w:val="center"/>
          </w:tcPr>
          <w:p>
            <w:r>
              <w:rPr>
                <w:sz w:val="16"/>
              </w:rPr>
              <w:t>UNSUPPORTED; block mismatch</w:t>
            </w:r>
          </w:p>
        </w:tc>
        <w:tc>
          <w:tcPr>
            <w:tcW w:type="dxa" w:w="2505"/>
            <w:vAlign w:val="center"/>
          </w:tcPr>
          <w:p>
            <w:pPr>
              <w:spacing w:after="20"/>
            </w:pPr>
            <w:r>
              <w:rPr>
                <w:sz w:val="16"/>
              </w:rPr>
              <w:t>Metadata</w:t>
            </w:r>
          </w:p>
        </w:tc>
      </w:tr>
      <w:tr>
        <w:trPr>
          <w:cantSplit/>
        </w:trPr>
        <w:tc>
          <w:tcPr>
            <w:tcW w:type="dxa" w:w="2505"/>
            <w:vAlign w:val="center"/>
            <w:shd w:fill="F3F6FA"/>
          </w:tcPr>
          <w:p>
            <w:pPr>
              <w:spacing w:after="20"/>
            </w:pPr>
            <w:r>
              <w:rPr>
                <w:sz w:val="16"/>
              </w:rPr>
              <w:t>SC-24</w:t>
            </w:r>
          </w:p>
        </w:tc>
        <w:tc>
          <w:tcPr>
            <w:tcW w:type="dxa" w:w="2505"/>
            <w:vAlign w:val="center"/>
            <w:shd w:fill="F3F6FA"/>
          </w:tcPr>
          <w:p>
            <w:pPr>
              <w:spacing w:after="20"/>
            </w:pPr>
            <w:r>
              <w:rPr>
                <w:sz w:val="16"/>
              </w:rPr>
              <w:t>Safety warning prohibits action</w:t>
            </w:r>
          </w:p>
        </w:tc>
        <w:tc>
          <w:tcPr>
            <w:tcW w:type="dxa" w:w="2505"/>
            <w:vAlign w:val="center"/>
            <w:shd w:fill="F3F6FA"/>
          </w:tcPr>
          <w:p>
            <w:r>
              <w:rPr>
                <w:sz w:val="16"/>
              </w:rPr>
              <w:t>SAFETY_STOP</w:t>
            </w:r>
          </w:p>
        </w:tc>
        <w:tc>
          <w:tcPr>
            <w:tcW w:type="dxa" w:w="2505"/>
            <w:vAlign w:val="center"/>
            <w:shd w:fill="F3F6FA"/>
          </w:tcPr>
          <w:p>
            <w:pPr>
              <w:spacing w:after="20"/>
            </w:pPr>
            <w:r>
              <w:rPr>
                <w:sz w:val="16"/>
              </w:rPr>
              <w:t>Safety</w:t>
            </w:r>
          </w:p>
        </w:tc>
      </w:tr>
      <w:tr>
        <w:trPr>
          <w:cantSplit/>
        </w:trPr>
        <w:tc>
          <w:tcPr>
            <w:tcW w:type="dxa" w:w="2505"/>
            <w:vAlign w:val="center"/>
          </w:tcPr>
          <w:p>
            <w:pPr>
              <w:spacing w:after="20"/>
            </w:pPr>
            <w:r>
              <w:rPr>
                <w:sz w:val="16"/>
              </w:rPr>
              <w:t>SC-25</w:t>
            </w:r>
          </w:p>
        </w:tc>
        <w:tc>
          <w:tcPr>
            <w:tcW w:type="dxa" w:w="2505"/>
            <w:vAlign w:val="center"/>
          </w:tcPr>
          <w:p>
            <w:pPr>
              <w:spacing w:after="20"/>
            </w:pPr>
            <w:r>
              <w:rPr>
                <w:sz w:val="16"/>
              </w:rPr>
              <w:t>Contradictory excerpts</w:t>
            </w:r>
          </w:p>
        </w:tc>
        <w:tc>
          <w:tcPr>
            <w:tcW w:type="dxa" w:w="2505"/>
            <w:vAlign w:val="center"/>
          </w:tcPr>
          <w:p>
            <w:r>
              <w:rPr>
                <w:sz w:val="16"/>
              </w:rPr>
              <w:t>UNSUPPORTED and review; known applicable stop wins</w:t>
            </w:r>
          </w:p>
        </w:tc>
        <w:tc>
          <w:tcPr>
            <w:tcW w:type="dxa" w:w="2505"/>
            <w:vAlign w:val="center"/>
          </w:tcPr>
          <w:p>
            <w:pPr>
              <w:spacing w:after="20"/>
            </w:pPr>
            <w:r>
              <w:rPr>
                <w:sz w:val="16"/>
              </w:rPr>
              <w:t>Safety</w:t>
            </w:r>
          </w:p>
        </w:tc>
      </w:tr>
      <w:tr>
        <w:trPr>
          <w:cantSplit/>
        </w:trPr>
        <w:tc>
          <w:tcPr>
            <w:tcW w:type="dxa" w:w="2505"/>
            <w:vAlign w:val="center"/>
            <w:shd w:fill="F3F6FA"/>
          </w:tcPr>
          <w:p>
            <w:pPr>
              <w:spacing w:after="20"/>
            </w:pPr>
            <w:r>
              <w:rPr>
                <w:sz w:val="16"/>
              </w:rPr>
              <w:t>SC-26</w:t>
            </w:r>
          </w:p>
        </w:tc>
        <w:tc>
          <w:tcPr>
            <w:tcW w:type="dxa" w:w="2505"/>
            <w:vAlign w:val="center"/>
            <w:shd w:fill="F3F6FA"/>
          </w:tcPr>
          <w:p>
            <w:pPr>
              <w:spacing w:after="20"/>
            </w:pPr>
            <w:r>
              <w:rPr>
                <w:sz w:val="16"/>
              </w:rPr>
              <w:t>Malicious instruction in user text</w:t>
            </w:r>
          </w:p>
        </w:tc>
        <w:tc>
          <w:tcPr>
            <w:tcW w:type="dxa" w:w="2505"/>
            <w:vAlign w:val="center"/>
            <w:shd w:fill="F3F6FA"/>
          </w:tcPr>
          <w:p>
            <w:r>
              <w:rPr>
                <w:sz w:val="16"/>
              </w:rPr>
              <w:t>Ignore injection; ordinary gates determine status</w:t>
            </w:r>
          </w:p>
        </w:tc>
        <w:tc>
          <w:tcPr>
            <w:tcW w:type="dxa" w:w="2505"/>
            <w:vAlign w:val="center"/>
            <w:shd w:fill="F3F6FA"/>
          </w:tcPr>
          <w:p>
            <w:pPr>
              <w:spacing w:after="20"/>
            </w:pPr>
            <w:r>
              <w:rPr>
                <w:sz w:val="16"/>
              </w:rPr>
              <w:t>Security</w:t>
            </w:r>
          </w:p>
        </w:tc>
      </w:tr>
      <w:tr>
        <w:trPr>
          <w:cantSplit/>
        </w:trPr>
        <w:tc>
          <w:tcPr>
            <w:tcW w:type="dxa" w:w="2505"/>
            <w:vAlign w:val="center"/>
          </w:tcPr>
          <w:p>
            <w:pPr>
              <w:spacing w:after="20"/>
            </w:pPr>
            <w:r>
              <w:rPr>
                <w:sz w:val="16"/>
              </w:rPr>
              <w:t>SC-27</w:t>
            </w:r>
          </w:p>
        </w:tc>
        <w:tc>
          <w:tcPr>
            <w:tcW w:type="dxa" w:w="2505"/>
            <w:vAlign w:val="center"/>
          </w:tcPr>
          <w:p>
            <w:pPr>
              <w:spacing w:after="20"/>
            </w:pPr>
            <w:r>
              <w:rPr>
                <w:sz w:val="16"/>
              </w:rPr>
              <w:t>Malicious instruction in PDF</w:t>
            </w:r>
          </w:p>
        </w:tc>
        <w:tc>
          <w:tcPr>
            <w:tcW w:type="dxa" w:w="2505"/>
            <w:vAlign w:val="center"/>
          </w:tcPr>
          <w:p>
            <w:r>
              <w:rPr>
                <w:sz w:val="16"/>
              </w:rPr>
              <w:t>Ignore injection; ordinary gates determine status</w:t>
            </w:r>
          </w:p>
        </w:tc>
        <w:tc>
          <w:tcPr>
            <w:tcW w:type="dxa" w:w="2505"/>
            <w:vAlign w:val="center"/>
          </w:tcPr>
          <w:p>
            <w:pPr>
              <w:spacing w:after="20"/>
            </w:pPr>
            <w:r>
              <w:rPr>
                <w:sz w:val="16"/>
              </w:rPr>
              <w:t>Security</w:t>
            </w:r>
          </w:p>
        </w:tc>
      </w:tr>
      <w:tr>
        <w:trPr>
          <w:cantSplit/>
        </w:trPr>
        <w:tc>
          <w:tcPr>
            <w:tcW w:type="dxa" w:w="2505"/>
            <w:vAlign w:val="center"/>
            <w:shd w:fill="F3F6FA"/>
          </w:tcPr>
          <w:p>
            <w:pPr>
              <w:spacing w:after="20"/>
            </w:pPr>
            <w:r>
              <w:rPr>
                <w:sz w:val="16"/>
              </w:rPr>
              <w:t>SC-28</w:t>
            </w:r>
          </w:p>
        </w:tc>
        <w:tc>
          <w:tcPr>
            <w:tcW w:type="dxa" w:w="2505"/>
            <w:vAlign w:val="center"/>
            <w:shd w:fill="F3F6FA"/>
          </w:tcPr>
          <w:p>
            <w:pPr>
              <w:spacing w:after="20"/>
            </w:pPr>
            <w:r>
              <w:rPr>
                <w:sz w:val="16"/>
              </w:rPr>
              <w:t>Retrieval API down</w:t>
            </w:r>
          </w:p>
        </w:tc>
        <w:tc>
          <w:tcPr>
            <w:tcW w:type="dxa" w:w="2505"/>
            <w:vAlign w:val="center"/>
            <w:shd w:fill="F3F6FA"/>
          </w:tcPr>
          <w:p>
            <w:r>
              <w:rPr>
                <w:sz w:val="16"/>
              </w:rPr>
              <w:t>SYSTEM_ERROR</w:t>
            </w:r>
          </w:p>
        </w:tc>
        <w:tc>
          <w:tcPr>
            <w:tcW w:type="dxa" w:w="2505"/>
            <w:vAlign w:val="center"/>
            <w:shd w:fill="F3F6FA"/>
          </w:tcPr>
          <w:p>
            <w:pPr>
              <w:spacing w:after="20"/>
            </w:pPr>
            <w:r>
              <w:rPr>
                <w:sz w:val="16"/>
              </w:rPr>
              <w:t>Reliability</w:t>
            </w:r>
          </w:p>
        </w:tc>
      </w:tr>
      <w:tr>
        <w:trPr>
          <w:cantSplit/>
        </w:trPr>
        <w:tc>
          <w:tcPr>
            <w:tcW w:type="dxa" w:w="2505"/>
            <w:vAlign w:val="center"/>
          </w:tcPr>
          <w:p>
            <w:pPr>
              <w:spacing w:after="20"/>
            </w:pPr>
            <w:r>
              <w:rPr>
                <w:sz w:val="16"/>
              </w:rPr>
              <w:t>SC-29</w:t>
            </w:r>
          </w:p>
        </w:tc>
        <w:tc>
          <w:tcPr>
            <w:tcW w:type="dxa" w:w="2505"/>
            <w:vAlign w:val="center"/>
          </w:tcPr>
          <w:p>
            <w:pPr>
              <w:spacing w:after="20"/>
            </w:pPr>
            <w:r>
              <w:rPr>
                <w:sz w:val="16"/>
              </w:rPr>
              <w:t>Session reset/lost</w:t>
            </w:r>
          </w:p>
        </w:tc>
        <w:tc>
          <w:tcPr>
            <w:tcW w:type="dxa" w:w="2505"/>
            <w:vAlign w:val="center"/>
          </w:tcPr>
          <w:p>
            <w:r>
              <w:rPr>
                <w:sz w:val="16"/>
              </w:rPr>
              <w:t>AMBIGUOUS; reconfirm session facts</w:t>
            </w:r>
          </w:p>
        </w:tc>
        <w:tc>
          <w:tcPr>
            <w:tcW w:type="dxa" w:w="2505"/>
            <w:vAlign w:val="center"/>
          </w:tcPr>
          <w:p>
            <w:pPr>
              <w:spacing w:after="20"/>
            </w:pPr>
            <w:r>
              <w:rPr>
                <w:sz w:val="16"/>
              </w:rPr>
              <w:t>Reliability</w:t>
            </w:r>
          </w:p>
        </w:tc>
      </w:tr>
      <w:tr>
        <w:trPr>
          <w:cantSplit/>
        </w:trPr>
        <w:tc>
          <w:tcPr>
            <w:tcW w:type="dxa" w:w="2505"/>
            <w:vAlign w:val="center"/>
            <w:shd w:fill="F3F6FA"/>
          </w:tcPr>
          <w:p>
            <w:pPr>
              <w:spacing w:after="20"/>
            </w:pPr>
            <w:r>
              <w:rPr>
                <w:sz w:val="16"/>
              </w:rPr>
              <w:t>SC-30</w:t>
            </w:r>
          </w:p>
        </w:tc>
        <w:tc>
          <w:tcPr>
            <w:tcW w:type="dxa" w:w="2505"/>
            <w:vAlign w:val="center"/>
            <w:shd w:fill="F3F6FA"/>
          </w:tcPr>
          <w:p>
            <w:pPr>
              <w:spacing w:after="20"/>
            </w:pPr>
            <w:r>
              <w:rPr>
                <w:sz w:val="16"/>
              </w:rPr>
              <w:t>Voice transcript mishears component</w:t>
            </w:r>
          </w:p>
        </w:tc>
        <w:tc>
          <w:tcPr>
            <w:tcW w:type="dxa" w:w="2505"/>
            <w:vAlign w:val="center"/>
            <w:shd w:fill="F3F6FA"/>
          </w:tcPr>
          <w:p>
            <w:r>
              <w:rPr>
                <w:sz w:val="16"/>
              </w:rPr>
              <w:t>Confirm transcript before normal gates</w:t>
            </w:r>
          </w:p>
        </w:tc>
        <w:tc>
          <w:tcPr>
            <w:tcW w:type="dxa" w:w="2505"/>
            <w:vAlign w:val="center"/>
            <w:shd w:fill="F3F6FA"/>
          </w:tcPr>
          <w:p>
            <w:pPr>
              <w:spacing w:after="20"/>
            </w:pPr>
            <w:r>
              <w:rPr>
                <w:sz w:val="16"/>
              </w:rPr>
              <w:t>Voice</w:t>
            </w:r>
          </w:p>
        </w:tc>
      </w:tr>
      <w:tr>
        <w:trPr>
          <w:cantSplit/>
        </w:trPr>
        <w:tc>
          <w:tcPr>
            <w:tcW w:type="dxa" w:w="2505"/>
            <w:vAlign w:val="center"/>
          </w:tcPr>
          <w:p>
            <w:pPr>
              <w:spacing w:after="20"/>
            </w:pPr>
            <w:r>
              <w:rPr>
                <w:sz w:val="16"/>
              </w:rPr>
              <w:t>SC-31</w:t>
            </w:r>
          </w:p>
        </w:tc>
        <w:tc>
          <w:tcPr>
            <w:tcW w:type="dxa" w:w="2505"/>
            <w:vAlign w:val="center"/>
          </w:tcPr>
          <w:p>
            <w:pPr>
              <w:spacing w:after="20"/>
            </w:pPr>
            <w:r>
              <w:rPr>
                <w:sz w:val="16"/>
              </w:rPr>
              <w:t>Explicit user-reported resolution</w:t>
            </w:r>
          </w:p>
        </w:tc>
        <w:tc>
          <w:tcPr>
            <w:tcW w:type="dxa" w:w="2505"/>
            <w:vAlign w:val="center"/>
          </w:tcPr>
          <w:p>
            <w:r>
              <w:rPr>
                <w:sz w:val="16"/>
              </w:rPr>
              <w:t>Close as rider-reported resolution</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SC-32</w:t>
            </w:r>
          </w:p>
        </w:tc>
        <w:tc>
          <w:tcPr>
            <w:tcW w:type="dxa" w:w="2505"/>
            <w:vAlign w:val="center"/>
            <w:shd w:fill="F3F6FA"/>
          </w:tcPr>
          <w:p>
            <w:pPr>
              <w:spacing w:after="20"/>
            </w:pPr>
            <w:r>
              <w:rPr>
                <w:sz w:val="16"/>
              </w:rPr>
              <w:t>Relevant passage retrieved but lacks requested action</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Grounding</w:t>
            </w:r>
          </w:p>
        </w:tc>
      </w:tr>
    </w:tbl>
    <w:p>
      <w:pPr>
        <w:spacing w:after="0"/>
      </w:pPr>
    </w:p>
    <w:p>
      <w:pPr>
        <w:pStyle w:val="Heading1"/>
      </w:pPr>
      <w:r>
        <w:rPr>
          <w:color w:val="000000"/>
        </w:rPr>
        <w:t>3  Architecture decision register: choice, alternatives and reversal triggers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ID / decision</w:t>
            </w:r>
          </w:p>
        </w:tc>
        <w:tc>
          <w:tcPr>
            <w:tcW w:type="dxa" w:w="3341"/>
            <w:shd w:fill="102238"/>
          </w:tcPr>
          <w:p>
            <w:r>
              <w:rPr>
                <w:b/>
                <w:color w:val="FFFFFF"/>
                <w:sz w:val="16"/>
              </w:rPr>
              <w:t>Provisional choice</w:t>
            </w:r>
          </w:p>
        </w:tc>
        <w:tc>
          <w:tcPr>
            <w:tcW w:type="dxa" w:w="3341"/>
            <w:shd w:fill="102238"/>
          </w:tcPr>
          <w:p>
            <w:r>
              <w:rPr>
                <w:b/>
                <w:color w:val="FFFFFF"/>
                <w:sz w:val="16"/>
              </w:rPr>
              <w:t>Alternatives / what would change the decision</w:t>
            </w:r>
          </w:p>
        </w:tc>
      </w:tr>
      <w:tr>
        <w:trPr>
          <w:cantSplit/>
        </w:trPr>
        <w:tc>
          <w:tcPr>
            <w:tcW w:type="dxa" w:w="3341"/>
            <w:vAlign w:val="center"/>
          </w:tcPr>
          <w:p>
            <w:r>
              <w:rPr>
                <w:sz w:val="16"/>
              </w:rPr>
              <w:t>ADR-01 Parser</w:t>
            </w:r>
          </w:p>
        </w:tc>
        <w:tc>
          <w:tcPr>
            <w:tcW w:type="dxa" w:w="3341"/>
            <w:vAlign w:val="center"/>
          </w:tcPr>
          <w:p>
            <w:r>
              <w:rPr>
                <w:sz w:val="16"/>
              </w:rPr>
              <w:t>Docling in hosted ingestion; flagged whole-page fallback for PDF 103</w:t>
            </w:r>
          </w:p>
        </w:tc>
        <w:tc>
          <w:tcPr>
            <w:tcW w:type="dxa" w:w="3341"/>
            <w:vAlign w:val="center"/>
          </w:tcPr>
          <w:p>
            <w:r>
              <w:rPr>
                <w:sz w:val="16"/>
              </w:rPr>
              <w:t>Other layout parsers or Document AI only after reviewed extraction comparison; fallback is unapproved source context</w:t>
            </w:r>
          </w:p>
        </w:tc>
      </w:tr>
      <w:tr>
        <w:trPr>
          <w:cantSplit/>
        </w:trPr>
        <w:tc>
          <w:tcPr>
            <w:tcW w:type="dxa" w:w="3341"/>
            <w:vAlign w:val="center"/>
            <w:shd w:fill="F3F6FA"/>
          </w:tcPr>
          <w:p>
            <w:r>
              <w:rPr>
                <w:sz w:val="16"/>
              </w:rPr>
              <w:t>ADR-02 Chunking</w:t>
            </w:r>
          </w:p>
        </w:tc>
        <w:tc>
          <w:tcPr>
            <w:tcW w:type="dxa" w:w="3341"/>
            <w:vAlign w:val="center"/>
            <w:shd w:fill="F3F6FA"/>
          </w:tcPr>
          <w:p>
            <w:r>
              <w:rPr>
                <w:sz w:val="16"/>
              </w:rPr>
              <w:t>1,024-token parent-child search chunks with section context</w:t>
            </w:r>
          </w:p>
        </w:tc>
        <w:tc>
          <w:tcPr>
            <w:tcW w:type="dxa" w:w="3341"/>
            <w:vAlign w:val="center"/>
            <w:shd w:fill="F3F6FA"/>
          </w:tcPr>
          <w:p>
            <w:r>
              <w:rPr>
                <w:sz w:val="16"/>
              </w:rPr>
              <w:t>Procedure parents still unreviewed; compare alternatives on warning/condition completeness</w:t>
            </w:r>
          </w:p>
        </w:tc>
      </w:tr>
      <w:tr>
        <w:trPr>
          <w:cantSplit/>
        </w:trPr>
        <w:tc>
          <w:tcPr>
            <w:tcW w:type="dxa" w:w="3341"/>
            <w:vAlign w:val="center"/>
          </w:tcPr>
          <w:p>
            <w:r>
              <w:rPr>
                <w:sz w:val="16"/>
              </w:rPr>
              <w:t>ADR-03 Retrieval</w:t>
            </w:r>
          </w:p>
        </w:tc>
        <w:tc>
          <w:tcPr>
            <w:tcW w:type="dxa" w:w="3341"/>
            <w:vAlign w:val="center"/>
          </w:tcPr>
          <w:p>
            <w:r>
              <w:rPr>
                <w:sz w:val="16"/>
              </w:rPr>
              <w:t>BGE M3 cosine + BM25 + RRF, bounded reviewed expansion</w:t>
            </w:r>
          </w:p>
        </w:tc>
        <w:tc>
          <w:tcPr>
            <w:tcW w:type="dxa" w:w="3341"/>
            <w:vAlign w:val="center"/>
          </w:tcPr>
          <w:p>
            <w:r>
              <w:rPr>
                <w:sz w:val="16"/>
              </w:rPr>
              <w:t>Dense-only/sparse alternatives require same reviewed held-out cases</w:t>
            </w:r>
          </w:p>
        </w:tc>
      </w:tr>
      <w:tr>
        <w:trPr>
          <w:cantSplit/>
        </w:trPr>
        <w:tc>
          <w:tcPr>
            <w:tcW w:type="dxa" w:w="3341"/>
            <w:vAlign w:val="center"/>
            <w:shd w:fill="F3F6FA"/>
          </w:tcPr>
          <w:p>
            <w:r>
              <w:rPr>
                <w:sz w:val="16"/>
              </w:rPr>
              <w:t>ADR-04 Embeddings</w:t>
            </w:r>
          </w:p>
        </w:tc>
        <w:tc>
          <w:tcPr>
            <w:tcW w:type="dxa" w:w="3341"/>
            <w:vAlign w:val="center"/>
            <w:shd w:fill="F3F6FA"/>
          </w:tcPr>
          <w:p>
            <w:r>
              <w:rPr>
                <w:sz w:val="16"/>
              </w:rPr>
              <w:t>BGE M3 selected candidate; 532 chunks and 277 section parents</w:t>
            </w:r>
          </w:p>
        </w:tc>
        <w:tc>
          <w:tcPr>
            <w:tcW w:type="dxa" w:w="3341"/>
            <w:vAlign w:val="center"/>
            <w:shd w:fill="F3F6FA"/>
          </w:tcPr>
          <w:p>
            <w:r>
              <w:rPr>
                <w:sz w:val="16"/>
              </w:rPr>
              <w:t>MiniLM hybrid 21/27 vs BGE 23/27 draft page coverage; no release-quality claim</w:t>
            </w:r>
          </w:p>
        </w:tc>
      </w:tr>
      <w:tr>
        <w:trPr>
          <w:cantSplit/>
        </w:trPr>
        <w:tc>
          <w:tcPr>
            <w:tcW w:type="dxa" w:w="3341"/>
            <w:vAlign w:val="center"/>
          </w:tcPr>
          <w:p>
            <w:r>
              <w:rPr>
                <w:sz w:val="16"/>
              </w:rPr>
              <w:t>ADR-05 Links</w:t>
            </w:r>
          </w:p>
        </w:tc>
        <w:tc>
          <w:tcPr>
            <w:tcW w:type="dxa" w:w="3341"/>
            <w:vAlign w:val="center"/>
          </w:tcPr>
          <w:p>
            <w:r>
              <w:rPr>
                <w:sz w:val="16"/>
              </w:rPr>
              <w:t>Lightweight provenance graph; only approved dependencies can authorize steps</w:t>
            </w:r>
          </w:p>
        </w:tc>
        <w:tc>
          <w:tcPr>
            <w:tcW w:type="dxa" w:w="3341"/>
            <w:vAlign w:val="center"/>
          </w:tcPr>
          <w:p>
            <w:r>
              <w:rPr>
                <w:sz w:val="16"/>
              </w:rPr>
              <w:t>Structural/topic links are context; full GraphRAG requires measured gains and source-verifiable edges</w:t>
            </w:r>
          </w:p>
        </w:tc>
      </w:tr>
      <w:tr>
        <w:trPr>
          <w:cantSplit/>
        </w:trPr>
        <w:tc>
          <w:tcPr>
            <w:tcW w:type="dxa" w:w="3341"/>
            <w:vAlign w:val="center"/>
            <w:shd w:fill="F3F6FA"/>
          </w:tcPr>
          <w:p>
            <w:r>
              <w:rPr>
                <w:sz w:val="16"/>
              </w:rPr>
              <w:t>ADR-06 Rerank</w:t>
            </w:r>
          </w:p>
        </w:tc>
        <w:tc>
          <w:tcPr>
            <w:tcW w:type="dxa" w:w="3341"/>
            <w:vAlign w:val="center"/>
            <w:shd w:fill="F3F6FA"/>
          </w:tcPr>
          <w:p>
            <w:r>
              <w:rPr>
                <w:sz w:val="16"/>
              </w:rPr>
              <w:t>Owner-approved conditional cross-encoder policy in TRD v0.4</w:t>
            </w:r>
          </w:p>
        </w:tc>
        <w:tc>
          <w:tcPr>
            <w:tcW w:type="dxa" w:w="3341"/>
            <w:vAlign w:val="center"/>
            <w:shd w:fill="F3F6FA"/>
          </w:tcPr>
          <w:p>
            <w:r>
              <w:rPr>
                <w:sz w:val="16"/>
              </w:rPr>
              <w:t>Off/always_diagnostic ablations; current review gaps skip it; calibrate distinct-parent triggers independently</w:t>
            </w:r>
          </w:p>
        </w:tc>
      </w:tr>
      <w:tr>
        <w:trPr>
          <w:cantSplit/>
        </w:trPr>
        <w:tc>
          <w:tcPr>
            <w:tcW w:type="dxa" w:w="3341"/>
            <w:vAlign w:val="center"/>
          </w:tcPr>
          <w:p>
            <w:r>
              <w:rPr>
                <w:sz w:val="16"/>
              </w:rPr>
              <w:t>ADR-07 Sufficiency</w:t>
            </w:r>
          </w:p>
        </w:tc>
        <w:tc>
          <w:tcPr>
            <w:tcW w:type="dxa" w:w="3341"/>
            <w:vAlign w:val="center"/>
          </w:tcPr>
          <w:p>
            <w:r>
              <w:t>Source-context integrity plus private drafting and separate online question-coverage/claim-support verification</w:t>
            </w:r>
          </w:p>
        </w:tc>
        <w:tc>
          <w:tcPr>
            <w:tcW w:type="dxa" w:w="3341"/>
            <w:vAlign w:val="center"/>
          </w:tcPr>
          <w:p>
            <w:r>
              <w:t>No answer-scope catalogue; measure false acceptance/refusal independently against original pages</w:t>
            </w:r>
          </w:p>
        </w:tc>
      </w:tr>
      <w:tr>
        <w:trPr>
          <w:cantSplit/>
        </w:trPr>
        <w:tc>
          <w:tcPr>
            <w:tcW w:type="dxa" w:w="3341"/>
            <w:vAlign w:val="center"/>
            <w:shd w:fill="F3F6FA"/>
          </w:tcPr>
          <w:p>
            <w:r>
              <w:rPr>
                <w:sz w:val="16"/>
              </w:rPr>
              <w:t>ADR-08 Stateful dialog</w:t>
            </w:r>
          </w:p>
        </w:tc>
        <w:tc>
          <w:tcPr>
            <w:tcW w:type="dxa" w:w="3341"/>
            <w:vAlign w:val="center"/>
            <w:shd w:fill="F3F6FA"/>
          </w:tcPr>
          <w:p>
            <w:r>
              <w:t>Relevant typed history; optional legacy deterministic diagnostic flows</w:t>
            </w:r>
          </w:p>
        </w:tc>
        <w:tc>
          <w:tcPr>
            <w:tcW w:type="dxa" w:w="3341"/>
            <w:vAlign w:val="center"/>
            <w:shd w:fill="F3F6FA"/>
          </w:tcPr>
          <w:p>
            <w:r>
              <w:t>Open Q&amp;A including supported procedures must not require registered action or branch records</w:t>
            </w:r>
          </w:p>
        </w:tc>
      </w:tr>
      <w:tr>
        <w:trPr>
          <w:cantSplit/>
        </w:trPr>
        <w:tc>
          <w:tcPr>
            <w:tcW w:type="dxa" w:w="3341"/>
            <w:vAlign w:val="center"/>
          </w:tcPr>
          <w:p>
            <w:pPr>
              <w:spacing w:after="20"/>
            </w:pPr>
            <w:r>
              <w:rPr>
                <w:sz w:val="16"/>
              </w:rPr>
              <w:t>ADR-09 Image</w:t>
            </w:r>
          </w:p>
        </w:tc>
        <w:tc>
          <w:tcPr>
            <w:tcW w:type="dxa" w:w="3341"/>
            <w:vAlign w:val="center"/>
          </w:tcPr>
          <w:p>
            <w:pPr>
              <w:spacing w:after="20"/>
            </w:pPr>
            <w:r>
              <w:rPr>
                <w:sz w:val="16"/>
              </w:rPr>
              <w:t>Observation-only VLM + manual lookup</w:t>
            </w:r>
          </w:p>
        </w:tc>
        <w:tc>
          <w:tcPr>
            <w:tcW w:type="dxa" w:w="3341"/>
            <w:vAlign w:val="center"/>
          </w:tcPr>
          <w:p>
            <w:pPr>
              <w:spacing w:after="20"/>
            </w:pPr>
            <w:r>
              <w:rPr>
                <w:sz w:val="16"/>
              </w:rPr>
              <w:t>ColPali/visual-page retrieval for figure-dependent misses</w:t>
            </w:r>
          </w:p>
        </w:tc>
      </w:tr>
      <w:tr>
        <w:trPr>
          <w:cantSplit/>
        </w:trPr>
        <w:tc>
          <w:tcPr>
            <w:tcW w:type="dxa" w:w="3341"/>
            <w:vAlign w:val="center"/>
            <w:shd w:fill="F3F6FA"/>
          </w:tcPr>
          <w:p>
            <w:pPr>
              <w:spacing w:after="20"/>
            </w:pPr>
            <w:r>
              <w:rPr>
                <w:sz w:val="16"/>
              </w:rPr>
              <w:t>ADR-10 Voice</w:t>
            </w:r>
          </w:p>
        </w:tc>
        <w:tc>
          <w:tcPr>
            <w:tcW w:type="dxa" w:w="3341"/>
            <w:vAlign w:val="center"/>
            <w:shd w:fill="F3F6FA"/>
          </w:tcPr>
          <w:p>
            <w:pPr>
              <w:spacing w:after="20"/>
            </w:pPr>
            <w:r>
              <w:rPr>
                <w:sz w:val="16"/>
              </w:rPr>
              <w:t>Optional STT with Sarvam evaluation</w:t>
            </w:r>
          </w:p>
        </w:tc>
        <w:tc>
          <w:tcPr>
            <w:tcW w:type="dxa" w:w="3341"/>
            <w:vAlign w:val="center"/>
            <w:shd w:fill="F3F6FA"/>
          </w:tcPr>
          <w:p>
            <w:pPr>
              <w:spacing w:after="20"/>
            </w:pPr>
            <w:r>
              <w:rPr>
                <w:sz w:val="16"/>
              </w:rPr>
              <w:t>Provider alternatives if technical-term accuracy, language or cost poorer</w:t>
            </w:r>
          </w:p>
        </w:tc>
      </w:tr>
      <w:tr>
        <w:trPr>
          <w:cantSplit/>
        </w:trPr>
        <w:tc>
          <w:tcPr>
            <w:tcW w:type="dxa" w:w="3341"/>
            <w:vAlign w:val="center"/>
          </w:tcPr>
          <w:p>
            <w:r>
              <w:rPr>
                <w:sz w:val="16"/>
              </w:rPr>
              <w:t>ADR-11 Hosting</w:t>
            </w:r>
          </w:p>
        </w:tc>
        <w:tc>
          <w:tcPr>
            <w:tcW w:type="dxa" w:w="3341"/>
            <w:vAlign w:val="center"/>
          </w:tcPr>
          <w:p>
            <w:r>
              <w:t>Private GitHub build; authenticated Qdrant and private Storage; Streamlit UI implemented, hosted rider-session API and live deployment pending</w:t>
            </w:r>
          </w:p>
        </w:tc>
        <w:tc>
          <w:tcPr>
            <w:tcW w:type="dxa" w:w="3341"/>
            <w:vAlign w:val="center"/>
          </w:tcPr>
          <w:p>
            <w:r>
              <w:rPr>
                <w:sz w:val="16"/>
              </w:rPr>
              <w:t>UI hosting provider remains open; preserve online operation, immutable index, server secrets and project budget</w:t>
            </w:r>
          </w:p>
        </w:tc>
      </w:tr>
      <w:tr>
        <w:trPr>
          <w:cantSplit/>
        </w:trPr>
        <w:tc>
          <w:tcPr>
            <w:tcW w:type="dxa" w:w="3341"/>
            <w:vAlign w:val="center"/>
            <w:shd w:fill="F3F6FA"/>
          </w:tcPr>
          <w:p>
            <w:r>
              <w:rPr>
                <w:sz w:val="16"/>
              </w:rPr>
              <w:t>ADR-12 Observability</w:t>
            </w:r>
          </w:p>
        </w:tc>
        <w:tc>
          <w:tcPr>
            <w:tcW w:type="dxa" w:w="3341"/>
            <w:vAlign w:val="center"/>
            <w:shd w:fill="F3F6FA"/>
          </w:tcPr>
          <w:p>
            <w:r>
              <w:rPr>
                <w:sz w:val="16"/>
              </w:rPr>
              <w:t>TRD RetrievalDecision and eligibility/claim spans; OpenTelemetry-compatible target</w:t>
            </w:r>
          </w:p>
        </w:tc>
        <w:tc>
          <w:tcPr>
            <w:tcW w:type="dxa" w:w="3341"/>
            <w:vAlign w:val="center"/>
            <w:shd w:fill="F3F6FA"/>
          </w:tcPr>
          <w:p>
            <w:r>
              <w:rPr>
                <w:sz w:val="16"/>
              </w:rPr>
              <w:t>Simple redacted traces or Langfuse backend; measured integration decision pending</w:t>
            </w:r>
          </w:p>
        </w:tc>
      </w:tr>
    </w:tbl>
    <w:p>
      <w:pPr>
        <w:spacing w:after="0"/>
      </w:pPr>
    </w:p>
    <w:p>
      <w:r>
        <w:t>Record dataset/version, review status, measured recall delta, unsupported eligibility/claim approvals, p95 and cost before changing a choice. Hosted draft diagnostics justify a candidate baseline only. Conditional scheduling is approved as a design policy; thresholds and release activation remain uncalibrated. Parser, retrieval, vision and voice alternatives remain experiments.</w:t>
      </w:r>
    </w:p>
    <w:p>
      <w:pPr>
        <w:pStyle w:val="Heading1"/>
      </w:pPr>
      <w:r>
        <w:rPr>
          <w:color w:val="000000"/>
        </w:rPr>
        <w:t>4  Golden-answer dataset: provisional atomic cases</w:t>
      </w:r>
    </w:p>
    <w:p>
      <w:r>
        <w:t>The supplied owner manual is the sole prototype source. Earlier drafts contained 37 atomic cases. The exact v3 package now has coordinator approval for all 161 initial and source-content scopes following independent original-source checks. This does not approve arbitrary adaptive transitions or general photo performance. Use the exact version-bound scopes, preserve unresolved limitations, and independently evaluate held-out cases before performance or public-release claims.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trPr>
        <w:tc>
          <w:tcPr>
            <w:tcW w:type="dxa" w:w="5011"/>
            <w:shd w:fill="102238"/>
          </w:tcPr>
          <w:p>
            <w:pPr>
              <w:keepNext/>
            </w:pPr>
            <w:r>
              <w:rPr>
                <w:b/>
                <w:color w:val="FFFFFF"/>
                <w:sz w:val="16"/>
              </w:rPr>
              <w:t>Field</w:t>
            </w:r>
          </w:p>
        </w:tc>
        <w:tc>
          <w:tcPr>
            <w:tcW w:type="dxa" w:w="5011"/>
            <w:shd w:fill="102238"/>
          </w:tcPr>
          <w:p>
            <w:r>
              <w:rPr>
                <w:b/>
                <w:color w:val="FFFFFF"/>
                <w:sz w:val="16"/>
              </w:rPr>
              <w:t>Description</w:t>
            </w:r>
          </w:p>
        </w:tc>
      </w:tr>
      <w:tr>
        <w:trPr>
          <w:cantSplit/>
        </w:trPr>
        <w:tc>
          <w:tcPr>
            <w:tcW w:type="dxa" w:w="5011"/>
            <w:vAlign w:val="center"/>
          </w:tcPr>
          <w:p>
            <w:pPr>
              <w:spacing w:after="20"/>
            </w:pPr>
            <w:r>
              <w:rPr>
                <w:sz w:val="16"/>
              </w:rPr>
              <w:t>case_id / manual_id / version</w:t>
            </w:r>
          </w:p>
        </w:tc>
        <w:tc>
          <w:tcPr>
            <w:tcW w:type="dxa" w:w="5011"/>
            <w:vAlign w:val="center"/>
          </w:tcPr>
          <w:p>
            <w:pPr>
              <w:spacing w:after="20"/>
            </w:pPr>
            <w:r>
              <w:rPr>
                <w:sz w:val="16"/>
              </w:rPr>
              <w:t>Stable identifiers and model/variant metadata</w:t>
            </w:r>
          </w:p>
        </w:tc>
      </w:tr>
      <w:tr>
        <w:trPr>
          <w:cantSplit/>
        </w:trPr>
        <w:tc>
          <w:tcPr>
            <w:tcW w:type="dxa" w:w="5011"/>
            <w:vAlign w:val="center"/>
            <w:shd w:fill="F3F6FA"/>
          </w:tcPr>
          <w:p>
            <w:pPr>
              <w:spacing w:after="20"/>
            </w:pPr>
            <w:r>
              <w:rPr>
                <w:sz w:val="16"/>
              </w:rPr>
              <w:t>query / turns / attachments</w:t>
            </w:r>
          </w:p>
        </w:tc>
        <w:tc>
          <w:tcPr>
            <w:tcW w:type="dxa" w:w="5011"/>
            <w:vAlign w:val="center"/>
            <w:shd w:fill="F3F6FA"/>
          </w:tcPr>
          <w:p>
            <w:pPr>
              <w:spacing w:after="20"/>
            </w:pPr>
            <w:r>
              <w:rPr>
                <w:sz w:val="16"/>
              </w:rPr>
              <w:t>User question, prior result history and image reference if any</w:t>
            </w:r>
          </w:p>
        </w:tc>
      </w:tr>
      <w:tr>
        <w:trPr>
          <w:cantSplit/>
        </w:trPr>
        <w:tc>
          <w:tcPr>
            <w:tcW w:type="dxa" w:w="5011"/>
            <w:vAlign w:val="center"/>
          </w:tcPr>
          <w:p>
            <w:r>
              <w:rPr>
                <w:sz w:val="16"/>
              </w:rPr>
              <w:t>expected_route</w:t>
            </w:r>
          </w:p>
        </w:tc>
        <w:tc>
          <w:tcPr>
            <w:tcW w:type="dxa" w:w="5011"/>
            <w:vAlign w:val="center"/>
          </w:tcPr>
          <w:p>
            <w:r>
              <w:rPr>
                <w:sz w:val="16"/>
              </w:rPr>
              <w:t>SUPPORTED / AMBIGUOUS / UNSUPPORTED / SAFETY_STOP / SYSTEM_ERROR; record transition/closure separately</w:t>
            </w:r>
          </w:p>
        </w:tc>
      </w:tr>
      <w:tr>
        <w:trPr>
          <w:cantSplit/>
        </w:trPr>
        <w:tc>
          <w:tcPr>
            <w:tcW w:type="dxa" w:w="5011"/>
            <w:vAlign w:val="center"/>
            <w:shd w:fill="F3F6FA"/>
          </w:tcPr>
          <w:p>
            <w:pPr>
              <w:spacing w:after="20"/>
            </w:pPr>
            <w:r>
              <w:rPr>
                <w:sz w:val="16"/>
              </w:rPr>
              <w:t>expected_observations</w:t>
            </w:r>
          </w:p>
        </w:tc>
        <w:tc>
          <w:tcPr>
            <w:tcW w:type="dxa" w:w="5011"/>
            <w:vAlign w:val="center"/>
            <w:shd w:fill="F3F6FA"/>
          </w:tcPr>
          <w:p>
            <w:pPr>
              <w:spacing w:after="20"/>
            </w:pPr>
            <w:r>
              <w:rPr>
                <w:sz w:val="16"/>
              </w:rPr>
              <w:t>Relevant confirmed, unknown or excluded diagnostic conditions</w:t>
            </w:r>
          </w:p>
        </w:tc>
      </w:tr>
      <w:tr>
        <w:trPr>
          <w:cantSplit/>
        </w:trPr>
        <w:tc>
          <w:tcPr>
            <w:tcW w:type="dxa" w:w="5011"/>
            <w:vAlign w:val="center"/>
          </w:tcPr>
          <w:p>
            <w:r>
              <w:rPr>
                <w:sz w:val="16"/>
              </w:rPr>
              <w:t>mandatory_evidence_ids</w:t>
            </w:r>
          </w:p>
        </w:tc>
        <w:tc>
          <w:tcPr>
            <w:tcW w:type="dxa" w:w="5011"/>
            <w:vAlign w:val="center"/>
          </w:tcPr>
          <w:p>
            <w:r>
              <w:rPr>
                <w:sz w:val="16"/>
              </w:rPr>
              <w:t>Approved action and dependency set, dependency manifest/version/review status, required and attached IDs, original-page provenance</w:t>
            </w:r>
          </w:p>
        </w:tc>
      </w:tr>
      <w:tr>
        <w:trPr>
          <w:cantSplit/>
        </w:trPr>
        <w:tc>
          <w:tcPr>
            <w:tcW w:type="dxa" w:w="5011"/>
            <w:vAlign w:val="center"/>
            <w:shd w:fill="F3F6FA"/>
          </w:tcPr>
          <w:p>
            <w:pPr>
              <w:spacing w:after="20"/>
            </w:pPr>
            <w:r>
              <w:rPr>
                <w:sz w:val="16"/>
              </w:rPr>
              <w:t>canonical_answer_facts</w:t>
            </w:r>
          </w:p>
        </w:tc>
        <w:tc>
          <w:tcPr>
            <w:tcW w:type="dxa" w:w="5011"/>
            <w:vAlign w:val="center"/>
            <w:shd w:fill="F3F6FA"/>
          </w:tcPr>
          <w:p>
            <w:pPr>
              <w:spacing w:after="20"/>
            </w:pPr>
            <w:r>
              <w:rPr>
                <w:sz w:val="16"/>
              </w:rPr>
              <w:t>Minimal facts the answer must contain; paraphrasing allowed</w:t>
            </w:r>
          </w:p>
        </w:tc>
      </w:tr>
      <w:tr>
        <w:trPr>
          <w:cantSplit/>
        </w:trPr>
        <w:tc>
          <w:tcPr>
            <w:tcW w:type="dxa" w:w="5011"/>
            <w:vAlign w:val="center"/>
          </w:tcPr>
          <w:p>
            <w:pPr>
              <w:spacing w:after="20"/>
            </w:pPr>
            <w:r>
              <w:rPr>
                <w:sz w:val="16"/>
              </w:rPr>
              <w:t>forbidden_claims</w:t>
            </w:r>
          </w:p>
        </w:tc>
        <w:tc>
          <w:tcPr>
            <w:tcW w:type="dxa" w:w="5011"/>
            <w:vAlign w:val="center"/>
          </w:tcPr>
          <w:p>
            <w:pPr>
              <w:spacing w:after="20"/>
            </w:pPr>
            <w:r>
              <w:rPr>
                <w:sz w:val="16"/>
              </w:rPr>
              <w:t>Specific unsupported diagnoses/actions that must not appear</w:t>
            </w:r>
          </w:p>
        </w:tc>
      </w:tr>
      <w:tr>
        <w:trPr>
          <w:cantSplit/>
        </w:trPr>
        <w:tc>
          <w:tcPr>
            <w:tcW w:type="dxa" w:w="5011"/>
            <w:vAlign w:val="center"/>
            <w:shd w:fill="F3F6FA"/>
          </w:tcPr>
          <w:p>
            <w:pPr>
              <w:spacing w:after="20"/>
            </w:pPr>
            <w:r>
              <w:t>expected_followup_behavior</w:t>
            </w:r>
          </w:p>
        </w:tc>
        <w:tc>
          <w:tcPr>
            <w:tcW w:type="dxa" w:w="5011"/>
            <w:vAlign w:val="center"/>
            <w:shd w:fill="F3F6FA"/>
          </w:tcPr>
          <w:p>
            <w:pPr>
              <w:spacing w:after="20"/>
            </w:pPr>
            <w:r>
              <w:t>Relevant unresolved outcomes retained; source-supported continuation, focused ambiguity or explicit limit; no invented OEM order</w:t>
            </w:r>
          </w:p>
        </w:tc>
      </w:tr>
      <w:tr>
        <w:trPr>
          <w:cantSplit/>
        </w:trPr>
        <w:tc>
          <w:tcPr>
            <w:tcW w:type="dxa" w:w="5011"/>
            <w:vAlign w:val="center"/>
          </w:tcPr>
          <w:p>
            <w:pPr>
              <w:spacing w:after="20"/>
            </w:pPr>
            <w:r>
              <w:rPr>
                <w:sz w:val="16"/>
              </w:rPr>
              <w:t>reviewer / provenance / confidence</w:t>
            </w:r>
          </w:p>
        </w:tc>
        <w:tc>
          <w:tcPr>
            <w:tcW w:type="dxa" w:w="5011"/>
            <w:vAlign w:val="center"/>
          </w:tcPr>
          <w:p>
            <w:pPr>
              <w:spacing w:after="20"/>
            </w:pPr>
            <w:r>
              <w:rPr>
                <w:sz w:val="16"/>
              </w:rPr>
              <w:t>Human verification, printed page, PDF index and link to source</w:t>
            </w:r>
          </w:p>
        </w:tc>
      </w:tr>
      <w:tr>
        <w:trPr>
          <w:cantSplit/>
        </w:trPr>
        <w:tc>
          <w:tcPr>
            <w:tcW w:type="dxa" w:w="5011"/>
            <w:vAlign w:val="center"/>
            <w:shd w:fill="F3F6FA"/>
          </w:tcPr>
          <w:p>
            <w:pPr>
              <w:spacing w:after="20"/>
            </w:pPr>
            <w:r>
              <w:rPr>
                <w:sz w:val="16"/>
              </w:rPr>
              <w:t>evaluation_split / difficulty</w:t>
            </w:r>
          </w:p>
        </w:tc>
        <w:tc>
          <w:tcPr>
            <w:tcW w:type="dxa" w:w="5011"/>
            <w:vAlign w:val="center"/>
            <w:shd w:fill="F3F6FA"/>
          </w:tcPr>
          <w:p>
            <w:pPr>
              <w:spacing w:after="20"/>
            </w:pPr>
            <w:r>
              <w:rPr>
                <w:sz w:val="16"/>
              </w:rPr>
              <w:t>Regression, validation, holdout; basic / multi-hop / vision / high-risk</w:t>
            </w:r>
          </w:p>
        </w:tc>
      </w:tr>
      <w:tr>
        <w:tc>
          <w:tcPr>
            <w:tcW w:type="dxa" w:w="5011"/>
          </w:tcPr>
          <w:p>
            <w:r>
              <w:rPr>
                <w:sz w:val="16"/>
              </w:rPr>
              <w:t>expected_eligibility / rule provenance</w:t>
            </w:r>
          </w:p>
        </w:tc>
        <w:tc>
          <w:tcPr>
            <w:tcW w:type="dxa" w:w="5011"/>
          </w:tcPr>
          <w:p>
            <w:r>
              <w:rPr>
                <w:sz w:val="16"/>
              </w:rPr>
              <w:t>TRUE/FALSE/UNKNOWN facts, approved rule versions, exclusion reasons, allowed next step, session version and prior immutable attempts</w:t>
            </w:r>
          </w:p>
        </w:tc>
      </w:tr>
    </w:tbl>
    <w:p>
      <w:pPr>
        <w:spacing w:after="0"/>
      </w:pPr>
    </w:p>
    <w:p>
      <w:r>
        <w:t>Suggested distribution for 50 cases: 12 direct answers; 8 multi-step feedback; 8 cross-section/table/figure; 8 photo/voice; 10 unsupported or ambiguous; 4 safety, adversarial or system-error. Rebalance after inspecting manual and avoiding synthetic evidence.</w:t>
      </w:r>
    </w:p>
    <w:p>
      <w:pPr>
        <w:pStyle w:val="Heading1"/>
      </w:pPr>
      <w:r>
        <w:rPr>
          <w:color w:val="000000"/>
        </w:rPr>
        <w:t>5  KPI contract and definitions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KPI</w:t>
            </w:r>
          </w:p>
        </w:tc>
        <w:tc>
          <w:tcPr>
            <w:tcW w:type="dxa" w:w="3341"/>
            <w:shd w:fill="102238"/>
          </w:tcPr>
          <w:p>
            <w:r>
              <w:rPr>
                <w:b/>
                <w:color w:val="FFFFFF"/>
                <w:sz w:val="16"/>
              </w:rPr>
              <w:t>Definition</w:t>
            </w:r>
          </w:p>
        </w:tc>
        <w:tc>
          <w:tcPr>
            <w:tcW w:type="dxa" w:w="3341"/>
            <w:shd w:fill="102238"/>
          </w:tcPr>
          <w:p>
            <w:r>
              <w:rPr>
                <w:b/>
                <w:color w:val="FFFFFF"/>
                <w:sz w:val="16"/>
              </w:rPr>
              <w:t>Provisional target / owner</w:t>
            </w:r>
          </w:p>
        </w:tc>
      </w:tr>
      <w:tr>
        <w:trPr>
          <w:cantSplit/>
        </w:trPr>
        <w:tc>
          <w:tcPr>
            <w:tcW w:type="dxa" w:w="3341"/>
            <w:vAlign w:val="center"/>
          </w:tcPr>
          <w:p>
            <w:pPr>
              <w:spacing w:after="20"/>
            </w:pPr>
            <w:r>
              <w:rPr>
                <w:sz w:val="16"/>
              </w:rPr>
              <w:t>Unsupported-instruction rate</w:t>
            </w:r>
          </w:p>
        </w:tc>
        <w:tc>
          <w:tcPr>
            <w:tcW w:type="dxa" w:w="3341"/>
            <w:vAlign w:val="center"/>
          </w:tcPr>
          <w:p>
            <w:pPr>
              <w:spacing w:after="20"/>
            </w:pPr>
            <w:r>
              <w:rPr>
                <w:sz w:val="16"/>
              </w:rPr>
              <w:t>Unsupported technical steps / technical steps reviewed</w:t>
            </w:r>
          </w:p>
        </w:tc>
        <w:tc>
          <w:tcPr>
            <w:tcW w:type="dxa" w:w="3341"/>
            <w:vAlign w:val="center"/>
          </w:tcPr>
          <w:p>
            <w:pPr>
              <w:spacing w:after="20"/>
            </w:pPr>
            <w:r>
              <w:rPr>
                <w:sz w:val="16"/>
              </w:rPr>
              <w:t>0 in release suite; manually adjudicated</w:t>
            </w:r>
          </w:p>
        </w:tc>
      </w:tr>
      <w:tr>
        <w:trPr>
          <w:cantSplit/>
        </w:trPr>
        <w:tc>
          <w:tcPr>
            <w:tcW w:type="dxa" w:w="3341"/>
            <w:vAlign w:val="center"/>
            <w:shd w:fill="F3F6FA"/>
          </w:tcPr>
          <w:p>
            <w:pPr>
              <w:spacing w:after="20"/>
            </w:pPr>
            <w:r>
              <w:rPr>
                <w:sz w:val="16"/>
              </w:rPr>
              <w:t>Abstention recall</w:t>
            </w:r>
          </w:p>
        </w:tc>
        <w:tc>
          <w:tcPr>
            <w:tcW w:type="dxa" w:w="3341"/>
            <w:vAlign w:val="center"/>
            <w:shd w:fill="F3F6FA"/>
          </w:tcPr>
          <w:p>
            <w:pPr>
              <w:spacing w:after="20"/>
            </w:pPr>
            <w:r>
              <w:rPr>
                <w:sz w:val="16"/>
              </w:rPr>
              <w:t>Correctly abstained truly unsupported cases / all unsupported cases</w:t>
            </w:r>
          </w:p>
        </w:tc>
        <w:tc>
          <w:tcPr>
            <w:tcW w:type="dxa" w:w="3341"/>
            <w:vAlign w:val="center"/>
            <w:shd w:fill="F3F6FA"/>
          </w:tcPr>
          <w:p>
            <w:pPr>
              <w:spacing w:after="20"/>
            </w:pPr>
            <w:r>
              <w:rPr>
                <w:sz w:val="16"/>
              </w:rPr>
              <w:t>&gt;=95%; benchmark</w:t>
            </w:r>
          </w:p>
        </w:tc>
      </w:tr>
      <w:tr>
        <w:trPr>
          <w:cantSplit/>
        </w:trPr>
        <w:tc>
          <w:tcPr>
            <w:tcW w:type="dxa" w:w="3341"/>
            <w:vAlign w:val="center"/>
          </w:tcPr>
          <w:p>
            <w:pPr>
              <w:spacing w:after="20"/>
            </w:pPr>
            <w:r>
              <w:rPr>
                <w:sz w:val="16"/>
              </w:rPr>
              <w:t>Abstention precision</w:t>
            </w:r>
          </w:p>
        </w:tc>
        <w:tc>
          <w:tcPr>
            <w:tcW w:type="dxa" w:w="3341"/>
            <w:vAlign w:val="center"/>
          </w:tcPr>
          <w:p>
            <w:pPr>
              <w:spacing w:after="20"/>
            </w:pPr>
            <w:r>
              <w:rPr>
                <w:sz w:val="16"/>
              </w:rPr>
              <w:t>Correctly abstained unsupported cases / all unsupported abstentions</w:t>
            </w:r>
          </w:p>
        </w:tc>
        <w:tc>
          <w:tcPr>
            <w:tcW w:type="dxa" w:w="3341"/>
            <w:vAlign w:val="center"/>
          </w:tcPr>
          <w:p>
            <w:pPr>
              <w:spacing w:after="20"/>
            </w:pPr>
            <w:r>
              <w:rPr>
                <w:sz w:val="16"/>
              </w:rPr>
              <w:t>Track; avoid over-refusal</w:t>
            </w:r>
          </w:p>
        </w:tc>
      </w:tr>
      <w:tr>
        <w:trPr>
          <w:cantSplit/>
        </w:trPr>
        <w:tc>
          <w:tcPr>
            <w:tcW w:type="dxa" w:w="3341"/>
            <w:vAlign w:val="center"/>
            <w:shd w:fill="F3F6FA"/>
          </w:tcPr>
          <w:p>
            <w:pPr>
              <w:spacing w:after="20"/>
            </w:pPr>
            <w:r>
              <w:rPr>
                <w:sz w:val="16"/>
              </w:rPr>
              <w:t>Answerable coverage</w:t>
            </w:r>
          </w:p>
        </w:tc>
        <w:tc>
          <w:tcPr>
            <w:tcW w:type="dxa" w:w="3341"/>
            <w:vAlign w:val="center"/>
            <w:shd w:fill="F3F6FA"/>
          </w:tcPr>
          <w:p>
            <w:pPr>
              <w:spacing w:after="20"/>
            </w:pPr>
            <w:r>
              <w:rPr>
                <w:sz w:val="16"/>
              </w:rPr>
              <w:t>Correctly answered supported cases / all answerable cases</w:t>
            </w:r>
          </w:p>
        </w:tc>
        <w:tc>
          <w:tcPr>
            <w:tcW w:type="dxa" w:w="3341"/>
            <w:vAlign w:val="center"/>
            <w:shd w:fill="F3F6FA"/>
          </w:tcPr>
          <w:p>
            <w:pPr>
              <w:spacing w:after="20"/>
            </w:pPr>
            <w:r>
              <w:rPr>
                <w:sz w:val="16"/>
              </w:rPr>
              <w:t>&gt;=80%; benchmark</w:t>
            </w:r>
          </w:p>
        </w:tc>
      </w:tr>
      <w:tr>
        <w:trPr>
          <w:cantSplit/>
        </w:trPr>
        <w:tc>
          <w:tcPr>
            <w:tcW w:type="dxa" w:w="3341"/>
            <w:vAlign w:val="center"/>
          </w:tcPr>
          <w:p>
            <w:pPr>
              <w:spacing w:after="20"/>
            </w:pPr>
            <w:r>
              <w:rPr>
                <w:sz w:val="16"/>
              </w:rPr>
              <w:t>Complete evidence recall</w:t>
            </w:r>
          </w:p>
        </w:tc>
        <w:tc>
          <w:tcPr>
            <w:tcW w:type="dxa" w:w="3341"/>
            <w:vAlign w:val="center"/>
          </w:tcPr>
          <w:p>
            <w:pPr>
              <w:spacing w:after="20"/>
            </w:pPr>
            <w:r>
              <w:rPr>
                <w:sz w:val="16"/>
              </w:rPr>
              <w:t>Answerable cases with entire required evidence set in bundle / answerable cases</w:t>
            </w:r>
          </w:p>
        </w:tc>
        <w:tc>
          <w:tcPr>
            <w:tcW w:type="dxa" w:w="3341"/>
            <w:vAlign w:val="center"/>
          </w:tcPr>
          <w:p>
            <w:pPr>
              <w:spacing w:after="20"/>
            </w:pPr>
            <w:r>
              <w:rPr>
                <w:sz w:val="16"/>
              </w:rPr>
              <w:t>&gt;=90%; retrieval</w:t>
            </w:r>
          </w:p>
        </w:tc>
      </w:tr>
      <w:tr>
        <w:trPr>
          <w:cantSplit/>
        </w:trPr>
        <w:tc>
          <w:tcPr>
            <w:tcW w:type="dxa" w:w="3341"/>
            <w:vAlign w:val="center"/>
            <w:shd w:fill="F3F6FA"/>
          </w:tcPr>
          <w:p>
            <w:pPr>
              <w:spacing w:after="20"/>
            </w:pPr>
            <w:r>
              <w:rPr>
                <w:sz w:val="16"/>
              </w:rPr>
              <w:t>Next-step correctness</w:t>
            </w:r>
          </w:p>
        </w:tc>
        <w:tc>
          <w:tcPr>
            <w:tcW w:type="dxa" w:w="3341"/>
            <w:vAlign w:val="center"/>
            <w:shd w:fill="F3F6FA"/>
          </w:tcPr>
          <w:p>
            <w:pPr>
              <w:spacing w:after="20"/>
            </w:pPr>
            <w:r>
              <w:rPr>
                <w:sz w:val="16"/>
              </w:rPr>
              <w:t>Correct eligible next branch after typed feedback / evaluated transitions</w:t>
            </w:r>
          </w:p>
        </w:tc>
        <w:tc>
          <w:tcPr>
            <w:tcW w:type="dxa" w:w="3341"/>
            <w:vAlign w:val="center"/>
            <w:shd w:fill="F3F6FA"/>
          </w:tcPr>
          <w:p>
            <w:pPr>
              <w:spacing w:after="20"/>
            </w:pPr>
            <w:r>
              <w:rPr>
                <w:sz w:val="16"/>
              </w:rPr>
              <w:t>&gt;=95%; multi-turn</w:t>
            </w:r>
          </w:p>
        </w:tc>
      </w:tr>
      <w:tr>
        <w:trPr>
          <w:cantSplit/>
        </w:trPr>
        <w:tc>
          <w:tcPr>
            <w:tcW w:type="dxa" w:w="3341"/>
            <w:vAlign w:val="center"/>
          </w:tcPr>
          <w:p>
            <w:pPr>
              <w:spacing w:after="20"/>
            </w:pPr>
            <w:r>
              <w:rPr>
                <w:sz w:val="16"/>
              </w:rPr>
              <w:t>Repeat-step defect rate</w:t>
            </w:r>
          </w:p>
        </w:tc>
        <w:tc>
          <w:tcPr>
            <w:tcW w:type="dxa" w:w="3341"/>
            <w:vAlign w:val="center"/>
          </w:tcPr>
          <w:p>
            <w:pPr>
              <w:spacing w:after="20"/>
            </w:pPr>
            <w:r>
              <w:rPr>
                <w:sz w:val="16"/>
              </w:rPr>
              <w:t>Unjustified repeats / evaluated multi-turn next-step selections</w:t>
            </w:r>
          </w:p>
        </w:tc>
        <w:tc>
          <w:tcPr>
            <w:tcW w:type="dxa" w:w="3341"/>
            <w:vAlign w:val="center"/>
          </w:tcPr>
          <w:p>
            <w:pPr>
              <w:spacing w:after="20"/>
            </w:pPr>
            <w:r>
              <w:rPr>
                <w:sz w:val="16"/>
              </w:rPr>
              <w:t>0 in release suite</w:t>
            </w:r>
          </w:p>
        </w:tc>
      </w:tr>
      <w:tr>
        <w:trPr>
          <w:cantSplit/>
        </w:trPr>
        <w:tc>
          <w:tcPr>
            <w:tcW w:type="dxa" w:w="3341"/>
            <w:vAlign w:val="center"/>
            <w:shd w:fill="F3F6FA"/>
          </w:tcPr>
          <w:p>
            <w:pPr>
              <w:spacing w:after="20"/>
            </w:pPr>
            <w:r>
              <w:rPr>
                <w:sz w:val="16"/>
              </w:rPr>
              <w:t>Citation support rate</w:t>
            </w:r>
          </w:p>
        </w:tc>
        <w:tc>
          <w:tcPr>
            <w:tcW w:type="dxa" w:w="3341"/>
            <w:vAlign w:val="center"/>
            <w:shd w:fill="F3F6FA"/>
          </w:tcPr>
          <w:p>
            <w:pPr>
              <w:spacing w:after="20"/>
            </w:pPr>
            <w:r>
              <w:rPr>
                <w:sz w:val="16"/>
              </w:rPr>
              <w:t>Claims with correct source mapping / claims requiring citations</w:t>
            </w:r>
          </w:p>
        </w:tc>
        <w:tc>
          <w:tcPr>
            <w:tcW w:type="dxa" w:w="3341"/>
            <w:vAlign w:val="center"/>
            <w:shd w:fill="F3F6FA"/>
          </w:tcPr>
          <w:p>
            <w:pPr>
              <w:spacing w:after="20"/>
            </w:pPr>
            <w:r>
              <w:rPr>
                <w:sz w:val="16"/>
              </w:rPr>
              <w:t>&gt;=98%; human audit</w:t>
            </w:r>
          </w:p>
        </w:tc>
      </w:tr>
      <w:tr>
        <w:trPr>
          <w:cantSplit/>
        </w:trPr>
        <w:tc>
          <w:tcPr>
            <w:tcW w:type="dxa" w:w="3341"/>
            <w:vAlign w:val="center"/>
          </w:tcPr>
          <w:p>
            <w:pPr>
              <w:spacing w:after="20"/>
            </w:pPr>
            <w:r>
              <w:rPr>
                <w:sz w:val="16"/>
              </w:rPr>
              <w:t>Customer-stated task outcome</w:t>
            </w:r>
          </w:p>
        </w:tc>
        <w:tc>
          <w:tcPr>
            <w:tcW w:type="dxa" w:w="3341"/>
            <w:vAlign w:val="center"/>
          </w:tcPr>
          <w:p>
            <w:pPr>
              <w:spacing w:after="20"/>
            </w:pPr>
            <w:r>
              <w:rPr>
                <w:sz w:val="16"/>
              </w:rPr>
              <w:t>Correct documented outcome or escalation / evaluated sessions</w:t>
            </w:r>
          </w:p>
        </w:tc>
        <w:tc>
          <w:tcPr>
            <w:tcW w:type="dxa" w:w="3341"/>
            <w:vAlign w:val="center"/>
          </w:tcPr>
          <w:p>
            <w:pPr>
              <w:spacing w:after="20"/>
            </w:pPr>
            <w:r>
              <w:rPr>
                <w:sz w:val="16"/>
              </w:rPr>
              <w:t>&gt;=85% in simulated scenarios</w:t>
            </w:r>
          </w:p>
        </w:tc>
      </w:tr>
      <w:tr>
        <w:trPr>
          <w:cantSplit/>
        </w:trPr>
        <w:tc>
          <w:tcPr>
            <w:tcW w:type="dxa" w:w="3341"/>
            <w:vAlign w:val="center"/>
            <w:shd w:fill="F3F6FA"/>
          </w:tcPr>
          <w:p>
            <w:r>
              <w:rPr>
                <w:sz w:val="16"/>
              </w:rPr>
              <w:t>Latency and TTFO</w:t>
            </w:r>
          </w:p>
        </w:tc>
        <w:tc>
          <w:tcPr>
            <w:tcW w:type="dxa" w:w="3341"/>
            <w:vAlign w:val="center"/>
            <w:shd w:fill="F3F6FA"/>
          </w:tcPr>
          <w:p>
            <w:r>
              <w:rPr>
                <w:sz w:val="16"/>
              </w:rPr>
              <w:t>Confirmed input to first releasable token; stage and fast/recovery/rerank p50/p95 plus combined p95; cold/warm separate</w:t>
            </w:r>
          </w:p>
        </w:tc>
        <w:tc>
          <w:tcPr>
            <w:tcW w:type="dxa" w:w="3341"/>
            <w:vAlign w:val="center"/>
            <w:shd w:fill="F3F6FA"/>
          </w:tcPr>
          <w:p>
            <w:r>
              <w:rPr>
                <w:sz w:val="16"/>
              </w:rPr>
              <w:t>Warm text p50 &lt;=2.5s, p95 &lt;=5s; photo p95 &lt;=10s</w:t>
            </w:r>
          </w:p>
        </w:tc>
      </w:tr>
      <w:tr>
        <w:trPr>
          <w:cantSplit/>
        </w:trPr>
        <w:tc>
          <w:tcPr>
            <w:tcW w:type="dxa" w:w="3341"/>
            <w:vAlign w:val="center"/>
          </w:tcPr>
          <w:p>
            <w:pPr>
              <w:spacing w:after="20"/>
            </w:pPr>
            <w:r>
              <w:rPr>
                <w:sz w:val="16"/>
              </w:rPr>
              <w:t>Cost per correctly handled case</w:t>
            </w:r>
          </w:p>
        </w:tc>
        <w:tc>
          <w:tcPr>
            <w:tcW w:type="dxa" w:w="3341"/>
            <w:vAlign w:val="center"/>
          </w:tcPr>
          <w:p>
            <w:pPr>
              <w:spacing w:after="20"/>
            </w:pPr>
            <w:r>
              <w:rPr>
                <w:sz w:val="16"/>
              </w:rPr>
              <w:t>Total model+infra spend / gold cases handled correctly</w:t>
            </w:r>
          </w:p>
        </w:tc>
        <w:tc>
          <w:tcPr>
            <w:tcW w:type="dxa" w:w="3341"/>
            <w:vAlign w:val="center"/>
          </w:tcPr>
          <w:p>
            <w:pPr>
              <w:spacing w:after="20"/>
            </w:pPr>
            <w:r>
              <w:rPr>
                <w:sz w:val="16"/>
              </w:rPr>
              <w:t>Baseline first, optimize thereafter</w:t>
            </w:r>
          </w:p>
        </w:tc>
      </w:tr>
      <w:tr>
        <w:tc>
          <w:tcPr>
            <w:tcW w:type="dxa" w:w="3341"/>
          </w:tcPr>
          <w:p>
            <w:r>
              <w:t>Question coverage and completeness</w:t>
            </w:r>
          </w:p>
        </w:tc>
        <w:tc>
          <w:tcPr>
            <w:tcW w:type="dxa" w:w="3341"/>
          </w:tcPr>
          <w:p>
            <w:r>
              <w:t>Actual question answered completely or supported part explicitly limited</w:t>
            </w:r>
          </w:p>
        </w:tc>
        <w:tc>
          <w:tcPr>
            <w:tcW w:type="dxa" w:w="3341"/>
          </w:tcPr>
          <w:p>
            <w:r>
              <w:t>Report separately from claim support on fresh held-out rider questions</w:t>
            </w:r>
          </w:p>
        </w:tc>
      </w:tr>
      <w:tr>
        <w:tc>
          <w:tcPr>
            <w:tcW w:type="dxa" w:w="3341"/>
          </w:tcPr>
          <w:p>
            <w:r>
              <w:t>Verifier false acceptance and refusal</w:t>
            </w:r>
          </w:p>
        </w:tc>
        <w:tc>
          <w:tcPr>
            <w:tcW w:type="dxa" w:w="3341"/>
          </w:tcPr>
          <w:p>
            <w:r>
              <w:t>Unsupported/irrelevant draft accepted or supported answer withheld</w:t>
            </w:r>
          </w:p>
        </w:tc>
        <w:tc>
          <w:tcPr>
            <w:tcW w:type="dxa" w:w="3341"/>
          </w:tcPr>
          <w:p>
            <w:r>
              <w:t>Independent original-page adjudication; do not infer from model confidence</w:t>
            </w:r>
          </w:p>
        </w:tc>
      </w:tr>
      <w:tr>
        <w:tc>
          <w:tcPr>
            <w:tcW w:type="dxa" w:w="3341"/>
          </w:tcPr>
          <w:p>
            <w:r>
              <w:t>Verified delivery equality</w:t>
            </w:r>
          </w:p>
        </w:tc>
        <w:tc>
          <w:tcPr>
            <w:tcW w:type="dxa" w:w="3341"/>
          </w:tcPr>
          <w:p>
            <w:r>
              <w:t>Accepted response text equals streamed and recovered saved text</w:t>
            </w:r>
          </w:p>
        </w:tc>
        <w:tc>
          <w:tcPr>
            <w:tcW w:type="dxa" w:w="3341"/>
          </w:tcPr>
          <w:p>
            <w:r>
              <w:t>No answer leakage before acceptance; exact hash/text equality</w:t>
            </w:r>
          </w:p>
        </w:tc>
      </w:tr>
      <w:tr>
        <w:tc>
          <w:tcPr>
            <w:tcW w:type="dxa" w:w="3341"/>
          </w:tcPr>
          <w:p>
            <w:r>
              <w:t>Stage timing and cost</w:t>
            </w:r>
          </w:p>
        </w:tc>
        <w:tc>
          <w:tcPr>
            <w:tcW w:type="dxa" w:w="3341"/>
          </w:tcPr>
          <w:p>
            <w:r>
              <w:t>Progress, retrieval/assembly/rerank, draft, verify, revision/reverify, validate/save, verified token and completion</w:t>
            </w:r>
          </w:p>
        </w:tc>
        <w:tc>
          <w:tcPr>
            <w:tcW w:type="dxa" w:w="3341"/>
          </w:tcPr>
          <w:p>
            <w:r>
              <w:t>Actual warm/cold results, calls/tokens/errors and cost; old latency targets not promises</w:t>
            </w:r>
          </w:p>
        </w:tc>
      </w:tr>
    </w:tbl>
    <w:p>
      <w:pPr>
        <w:spacing w:after="0"/>
      </w:pPr>
    </w:p>
    <w:p>
      <w:r>
        <w:t>Never conflate simulated “documented task completion” with real motorcycle repairs. Real-world repair success would require user follow-up or technician validation and should be explicitly labelled separately.</w:t>
      </w:r>
    </w:p>
    <w:p>
      <w:pPr>
        <w:pStyle w:val="Heading1"/>
      </w:pPr>
      <w:r>
        <w:rPr>
          <w:color w:val="000000"/>
        </w:rPr>
        <w:t>6  Observability and failure inventory</w:t>
      </w:r>
    </w:p>
    <w:p>
      <w:pPr>
        <w:pStyle w:val="ListBullet"/>
      </w:pPr>
      <w:r>
        <w:t>Each trace: trace_id, session pseudonym, manual checksum, code/model/prompt/index versions, modality, outcome, feedback, time and cost</w:t>
      </w:r>
    </w:p>
    <w:p>
      <w:pPr>
        <w:pStyle w:val="ListBullet"/>
      </w:pPr>
      <w:r>
        <w:t>Retrieval spans: policy version/config, calibration, distinct-parent uncertainty signals, recovery/rerank decisions and attempts, exact fetched/missing IDs, pair count, skip reason and stage duration.</w:t>
      </w:r>
    </w:p>
    <w:p>
      <w:pPr>
        <w:pStyle w:val="ListBullet"/>
      </w:pPr>
      <w:r>
        <w:t>Answer spans record source admission, question coverage, per-claim support, omissions, conflicts, revision count, accepted response/evidence hashes, final save and delivery operation ID. Typed history preserves unresolved outcomes. Optional legacy step spans remain separate from ordinary Q&amp;A.</w:t>
      </w:r>
    </w:p>
    <w:p>
      <w:pPr>
        <w:pStyle w:val="ListBullet"/>
      </w:pPr>
      <w:r>
        <w:t>Voice/vision spans: transcript correction rate, visual observation uncertainty, STT/vision latency, provider costs</w:t>
      </w:r>
    </w:p>
    <w:p>
      <w:pPr>
        <w:pStyle w:val="ListBullet"/>
      </w:pPr>
      <w:r>
        <w:t>Failure categories: SOURCE_MISMATCH, PARSE_GAP, NO_EVIDENCE, AMBIGUOUS_OBSERVATION, EVIDENCE_CONFLICT, UNSUPPORTED_DRAFT, API_ERROR, TIMEOUT, REPEAT_STEP, INVALID_CITATION</w:t>
      </w:r>
    </w:p>
    <w:p>
      <w:pPr>
        <w:pStyle w:val="ListBullet"/>
      </w:pPr>
      <w:r>
        <w:t>Track confirmed-input TTFO, path and combined p95, cold starts, fallback frequency and cost per correctly handled case; keep raw media and secrets out of logs.</w:t>
      </w:r>
    </w:p>
    <w:p>
      <w:pPr>
        <w:pStyle w:val="Heading1"/>
      </w:pPr>
      <w:r>
        <w:rPr>
          <w:color w:val="000000"/>
        </w:rPr>
        <w:t>7  Required source inventory before build</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Input / asset</w:t>
            </w:r>
          </w:p>
        </w:tc>
        <w:tc>
          <w:tcPr>
            <w:tcW w:type="dxa" w:w="3341"/>
            <w:shd w:fill="102238"/>
          </w:tcPr>
          <w:p>
            <w:r>
              <w:rPr>
                <w:b/>
                <w:color w:val="FFFFFF"/>
                <w:sz w:val="16"/>
              </w:rPr>
              <w:t>Needed from</w:t>
            </w:r>
          </w:p>
        </w:tc>
        <w:tc>
          <w:tcPr>
            <w:tcW w:type="dxa" w:w="3341"/>
            <w:shd w:fill="102238"/>
          </w:tcPr>
          <w:p>
            <w:r>
              <w:rPr>
                <w:b/>
                <w:color w:val="FFFFFF"/>
                <w:sz w:val="16"/>
              </w:rPr>
              <w:t>Validation</w:t>
            </w:r>
          </w:p>
        </w:tc>
      </w:tr>
      <w:tr>
        <w:trPr>
          <w:cantSplit/>
        </w:trPr>
        <w:tc>
          <w:tcPr>
            <w:tcW w:type="dxa" w:w="3341"/>
            <w:vAlign w:val="center"/>
          </w:tcPr>
          <w:p>
            <w:pPr>
              <w:spacing w:after="20"/>
            </w:pPr>
            <w:r>
              <w:rPr>
                <w:sz w:val="16"/>
              </w:rPr>
              <w:t>Supplied OEM owner's manual, exact PDF edition</w:t>
            </w:r>
          </w:p>
        </w:tc>
        <w:tc>
          <w:tcPr>
            <w:tcW w:type="dxa" w:w="3341"/>
            <w:vAlign w:val="center"/>
          </w:tcPr>
          <w:p>
            <w:pPr>
              <w:spacing w:after="20"/>
            </w:pPr>
            <w:r>
              <w:rPr>
                <w:sz w:val="16"/>
              </w:rPr>
              <w:t>User</w:t>
            </w:r>
          </w:p>
        </w:tc>
        <w:tc>
          <w:tcPr>
            <w:tcW w:type="dxa" w:w="3341"/>
            <w:vAlign w:val="center"/>
          </w:tcPr>
          <w:p>
            <w:pPr>
              <w:spacing w:after="20"/>
            </w:pPr>
            <w:r>
              <w:rPr>
                <w:sz w:val="16"/>
              </w:rPr>
              <w:t>Complete readable file, model/variant, publication metadata</w:t>
            </w:r>
          </w:p>
        </w:tc>
      </w:tr>
      <w:tr>
        <w:trPr>
          <w:cantSplit/>
        </w:trPr>
        <w:tc>
          <w:tcPr>
            <w:tcW w:type="dxa" w:w="3341"/>
            <w:vAlign w:val="center"/>
            <w:shd w:fill="F3F6FA"/>
          </w:tcPr>
          <w:p>
            <w:pPr>
              <w:spacing w:after="20"/>
            </w:pPr>
            <w:r>
              <w:rPr>
                <w:sz w:val="16"/>
              </w:rPr>
              <w:t>Official model/variant and year confirmation</w:t>
            </w:r>
          </w:p>
        </w:tc>
        <w:tc>
          <w:tcPr>
            <w:tcW w:type="dxa" w:w="3341"/>
            <w:vAlign w:val="center"/>
            <w:shd w:fill="F3F6FA"/>
          </w:tcPr>
          <w:p>
            <w:pPr>
              <w:spacing w:after="20"/>
            </w:pPr>
            <w:r>
              <w:rPr>
                <w:sz w:val="16"/>
              </w:rPr>
              <w:t>User / manual</w:t>
            </w:r>
          </w:p>
        </w:tc>
        <w:tc>
          <w:tcPr>
            <w:tcW w:type="dxa" w:w="3341"/>
            <w:vAlign w:val="center"/>
            <w:shd w:fill="F3F6FA"/>
          </w:tcPr>
          <w:p>
            <w:pPr>
              <w:spacing w:after="20"/>
            </w:pPr>
            <w:r>
              <w:rPr>
                <w:sz w:val="16"/>
              </w:rPr>
              <w:t>Variant and any regional difference documented</w:t>
            </w:r>
          </w:p>
        </w:tc>
      </w:tr>
      <w:tr>
        <w:trPr>
          <w:cantSplit/>
        </w:trPr>
        <w:tc>
          <w:tcPr>
            <w:tcW w:type="dxa" w:w="3341"/>
            <w:vAlign w:val="center"/>
          </w:tcPr>
          <w:p>
            <w:pPr>
              <w:spacing w:after="20"/>
            </w:pPr>
            <w:r>
              <w:rPr>
                <w:sz w:val="16"/>
              </w:rPr>
              <w:t>Manual source URL / redistribution permissions</w:t>
            </w:r>
          </w:p>
        </w:tc>
        <w:tc>
          <w:tcPr>
            <w:tcW w:type="dxa" w:w="3341"/>
            <w:vAlign w:val="center"/>
          </w:tcPr>
          <w:p>
            <w:pPr>
              <w:spacing w:after="20"/>
            </w:pPr>
            <w:r>
              <w:rPr>
                <w:sz w:val="16"/>
              </w:rPr>
              <w:t>OEM portal</w:t>
            </w:r>
          </w:p>
        </w:tc>
        <w:tc>
          <w:tcPr>
            <w:tcW w:type="dxa" w:w="3341"/>
            <w:vAlign w:val="center"/>
          </w:tcPr>
          <w:p>
            <w:pPr>
              <w:spacing w:after="20"/>
            </w:pPr>
            <w:r>
              <w:rPr>
                <w:sz w:val="16"/>
              </w:rPr>
              <w:t>Permitted hosting, excerpts and public demo usage</w:t>
            </w:r>
          </w:p>
        </w:tc>
      </w:tr>
      <w:tr>
        <w:trPr>
          <w:cantSplit/>
        </w:trPr>
        <w:tc>
          <w:tcPr>
            <w:tcW w:type="dxa" w:w="3341"/>
            <w:vAlign w:val="center"/>
            <w:shd w:fill="F3F6FA"/>
          </w:tcPr>
          <w:p>
            <w:pPr>
              <w:spacing w:after="20"/>
            </w:pPr>
            <w:r>
              <w:rPr>
                <w:sz w:val="16"/>
              </w:rPr>
              <w:t>Official OEM service/contact URL</w:t>
            </w:r>
          </w:p>
        </w:tc>
        <w:tc>
          <w:tcPr>
            <w:tcW w:type="dxa" w:w="3341"/>
            <w:vAlign w:val="center"/>
            <w:shd w:fill="F3F6FA"/>
          </w:tcPr>
          <w:p>
            <w:pPr>
              <w:spacing w:after="20"/>
            </w:pPr>
            <w:r>
              <w:rPr>
                <w:sz w:val="16"/>
              </w:rPr>
              <w:t>OEM site</w:t>
            </w:r>
          </w:p>
        </w:tc>
        <w:tc>
          <w:tcPr>
            <w:tcW w:type="dxa" w:w="3341"/>
            <w:vAlign w:val="center"/>
            <w:shd w:fill="F3F6FA"/>
          </w:tcPr>
          <w:p>
            <w:pPr>
              <w:spacing w:after="20"/>
            </w:pPr>
            <w:r>
              <w:rPr>
                <w:sz w:val="16"/>
              </w:rPr>
              <w:t>Current and relevant for market / variant</w:t>
            </w:r>
          </w:p>
        </w:tc>
      </w:tr>
      <w:tr>
        <w:trPr>
          <w:cantSplit/>
        </w:trPr>
        <w:tc>
          <w:tcPr>
            <w:tcW w:type="dxa" w:w="3341"/>
            <w:vAlign w:val="center"/>
          </w:tcPr>
          <w:p>
            <w:pPr>
              <w:spacing w:after="20"/>
            </w:pPr>
            <w:r>
              <w:rPr>
                <w:sz w:val="16"/>
              </w:rPr>
              <w:t>Sample bike photos, if used in demo</w:t>
            </w:r>
          </w:p>
        </w:tc>
        <w:tc>
          <w:tcPr>
            <w:tcW w:type="dxa" w:w="3341"/>
            <w:vAlign w:val="center"/>
          </w:tcPr>
          <w:p>
            <w:pPr>
              <w:spacing w:after="20"/>
            </w:pPr>
            <w:r>
              <w:rPr>
                <w:sz w:val="16"/>
              </w:rPr>
              <w:t>Licensed/consented collection</w:t>
            </w:r>
          </w:p>
        </w:tc>
        <w:tc>
          <w:tcPr>
            <w:tcW w:type="dxa" w:w="3341"/>
            <w:vAlign w:val="center"/>
          </w:tcPr>
          <w:p>
            <w:pPr>
              <w:spacing w:after="20"/>
            </w:pPr>
            <w:r>
              <w:rPr>
                <w:sz w:val="16"/>
              </w:rPr>
              <w:t>Relevant annotations and no exposed identifiers</w:t>
            </w:r>
          </w:p>
        </w:tc>
      </w:tr>
      <w:tr>
        <w:trPr>
          <w:cantSplit/>
        </w:trPr>
        <w:tc>
          <w:tcPr>
            <w:tcW w:type="dxa" w:w="3341"/>
            <w:vAlign w:val="center"/>
            <w:shd w:fill="F3F6FA"/>
          </w:tcPr>
          <w:p>
            <w:r>
              <w:rPr>
                <w:sz w:val="16"/>
              </w:rPr>
              <w:t>API keys and cost budget</w:t>
            </w:r>
          </w:p>
        </w:tc>
        <w:tc>
          <w:tcPr>
            <w:tcW w:type="dxa" w:w="3341"/>
            <w:vAlign w:val="center"/>
            <w:shd w:fill="F3F6FA"/>
          </w:tcPr>
          <w:p>
            <w:r>
              <w:rPr>
                <w:sz w:val="16"/>
              </w:rPr>
              <w:t>Developer / authorized GCP project</w:t>
            </w:r>
          </w:p>
        </w:tc>
        <w:tc>
          <w:tcPr>
            <w:tcW w:type="dxa" w:w="3341"/>
            <w:vAlign w:val="center"/>
            <w:shd w:fill="F3F6FA"/>
          </w:tcPr>
          <w:p>
            <w:r>
              <w:rPr>
                <w:sz w:val="16"/>
              </w:rPr>
              <w:t>Server secrets; INR800 lifetime budget and live stop INR640; per-day/UI limits pending</w:t>
            </w:r>
          </w:p>
        </w:tc>
      </w:tr>
      <w:tr>
        <w:trPr>
          <w:cantSplit/>
        </w:trPr>
        <w:tc>
          <w:tcPr>
            <w:tcW w:type="dxa" w:w="3341"/>
            <w:vAlign w:val="center"/>
          </w:tcPr>
          <w:p>
            <w:pPr>
              <w:spacing w:after="20"/>
            </w:pPr>
            <w:r>
              <w:rPr>
                <w:sz w:val="16"/>
              </w:rPr>
              <w:t>Public demo deployment account</w:t>
            </w:r>
          </w:p>
        </w:tc>
        <w:tc>
          <w:tcPr>
            <w:tcW w:type="dxa" w:w="3341"/>
            <w:vAlign w:val="center"/>
          </w:tcPr>
          <w:p>
            <w:pPr>
              <w:spacing w:after="20"/>
            </w:pPr>
            <w:r>
              <w:rPr>
                <w:sz w:val="16"/>
              </w:rPr>
              <w:t>Developer</w:t>
            </w:r>
          </w:p>
        </w:tc>
        <w:tc>
          <w:tcPr>
            <w:tcW w:type="dxa" w:w="3341"/>
            <w:vAlign w:val="center"/>
          </w:tcPr>
          <w:p>
            <w:pPr>
              <w:spacing w:after="20"/>
            </w:pPr>
            <w:r>
              <w:rPr>
                <w:sz w:val="16"/>
              </w:rPr>
              <w:t>External URL, rate-limit control, awake/cold start check</w:t>
            </w:r>
          </w:p>
        </w:tc>
      </w:tr>
      <w:tr>
        <w:trPr>
          <w:cantSplit/>
        </w:trPr>
        <w:tc>
          <w:tcPr>
            <w:tcW w:type="dxa" w:w="3341"/>
            <w:vAlign w:val="center"/>
            <w:shd w:fill="F3F6FA"/>
          </w:tcPr>
          <w:p>
            <w:pPr>
              <w:spacing w:after="20"/>
            </w:pPr>
            <w:r>
              <w:rPr>
                <w:sz w:val="16"/>
              </w:rPr>
              <w:t>Review and scoring rubric</w:t>
            </w:r>
          </w:p>
        </w:tc>
        <w:tc>
          <w:tcPr>
            <w:tcW w:type="dxa" w:w="3341"/>
            <w:vAlign w:val="center"/>
            <w:shd w:fill="F3F6FA"/>
          </w:tcPr>
          <w:p>
            <w:pPr>
              <w:spacing w:after="20"/>
            </w:pPr>
            <w:r>
              <w:rPr>
                <w:sz w:val="16"/>
              </w:rPr>
              <w:t>Project owner</w:t>
            </w:r>
          </w:p>
        </w:tc>
        <w:tc>
          <w:tcPr>
            <w:tcW w:type="dxa" w:w="3341"/>
            <w:vAlign w:val="center"/>
            <w:shd w:fill="F3F6FA"/>
          </w:tcPr>
          <w:p>
            <w:pPr>
              <w:spacing w:after="20"/>
            </w:pPr>
            <w:r>
              <w:rPr>
                <w:sz w:val="16"/>
              </w:rPr>
              <w:t>Correctness standard and versioned adjudication notes</w:t>
            </w:r>
          </w:p>
        </w:tc>
      </w:tr>
    </w:tbl>
    <w:p>
      <w:pPr>
        <w:spacing w:after="0"/>
      </w:pPr>
    </w:p>
    <w:p>
      <w:pPr>
        <w:pStyle w:val="Heading1"/>
      </w:pPr>
      <w:r>
        <w:rPr>
          <w:color w:val="000000"/>
        </w:rPr>
        <w:t>8  Weekend-oriented implementation workplan</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Phase</w:t>
            </w:r>
          </w:p>
        </w:tc>
        <w:tc>
          <w:tcPr>
            <w:tcW w:type="dxa" w:w="3341"/>
            <w:shd w:fill="102238"/>
          </w:tcPr>
          <w:p>
            <w:r>
              <w:rPr>
                <w:b/>
                <w:color w:val="FFFFFF"/>
                <w:sz w:val="16"/>
              </w:rPr>
              <w:t>Tasks</w:t>
            </w:r>
          </w:p>
        </w:tc>
        <w:tc>
          <w:tcPr>
            <w:tcW w:type="dxa" w:w="3341"/>
            <w:shd w:fill="102238"/>
          </w:tcPr>
          <w:p>
            <w:r>
              <w:rPr>
                <w:b/>
                <w:color w:val="FFFFFF"/>
                <w:sz w:val="16"/>
              </w:rPr>
              <w:t>Exit gate</w:t>
            </w:r>
          </w:p>
        </w:tc>
      </w:tr>
      <w:tr>
        <w:trPr>
          <w:cantSplit/>
        </w:trPr>
        <w:tc>
          <w:tcPr>
            <w:tcW w:type="dxa" w:w="3341"/>
            <w:vAlign w:val="center"/>
          </w:tcPr>
          <w:p>
            <w:r>
              <w:rPr>
                <w:sz w:val="16"/>
              </w:rPr>
              <w:t>A: Manual audit</w:t>
            </w:r>
          </w:p>
        </w:tc>
        <w:tc>
          <w:tcPr>
            <w:tcW w:type="dxa" w:w="3341"/>
            <w:vAlign w:val="center"/>
          </w:tcPr>
          <w:p>
            <w:r>
              <w:rPr>
                <w:sz w:val="16"/>
              </w:rPr>
              <w:t>Exact manual supplied; checksum verified; review difficult pages and dependencies; confirm metadata/rights/support</w:t>
            </w:r>
          </w:p>
        </w:tc>
        <w:tc>
          <w:tcPr>
            <w:tcW w:type="dxa" w:w="3341"/>
            <w:vAlign w:val="center"/>
          </w:tcPr>
          <w:p>
            <w:r>
              <w:rPr>
                <w:sz w:val="16"/>
              </w:rPr>
              <w:t>Confirmed manifest and ten reviewed seed questions; remaining fields still open</w:t>
            </w:r>
          </w:p>
        </w:tc>
      </w:tr>
      <w:tr>
        <w:trPr>
          <w:cantSplit/>
        </w:trPr>
        <w:tc>
          <w:tcPr>
            <w:tcW w:type="dxa" w:w="3341"/>
            <w:vAlign w:val="center"/>
            <w:shd w:fill="F3F6FA"/>
          </w:tcPr>
          <w:p>
            <w:r>
              <w:rPr>
                <w:sz w:val="16"/>
              </w:rPr>
              <w:t>B: Index and grounding</w:t>
            </w:r>
          </w:p>
        </w:tc>
        <w:tc>
          <w:tcPr>
            <w:tcW w:type="dxa" w:w="3341"/>
            <w:vAlign w:val="center"/>
            <w:shd w:fill="F3F6FA"/>
          </w:tcPr>
          <w:p>
            <w:r>
              <w:rPr>
                <w:sz w:val="16"/>
              </w:rPr>
              <w:t>Hosted candidate index built; approve procedure/step dependencies and test applicable factual answers</w:t>
            </w:r>
          </w:p>
        </w:tc>
        <w:tc>
          <w:tcPr>
            <w:tcW w:type="dxa" w:w="3341"/>
            <w:vAlign w:val="center"/>
            <w:shd w:fill="F3F6FA"/>
          </w:tcPr>
          <w:p>
            <w:r>
              <w:rPr>
                <w:sz w:val="16"/>
              </w:rPr>
              <w:t>Five independently reviewed direct questions return source-linked answers or justified routes</w:t>
            </w:r>
          </w:p>
        </w:tc>
      </w:tr>
      <w:tr>
        <w:trPr>
          <w:cantSplit/>
        </w:trPr>
        <w:tc>
          <w:tcPr>
            <w:tcW w:type="dxa" w:w="3341"/>
            <w:vAlign w:val="center"/>
          </w:tcPr>
          <w:p>
            <w:r>
              <w:rPr>
                <w:sz w:val="16"/>
              </w:rPr>
              <w:t>C: Stateful troubleshooting</w:t>
            </w:r>
          </w:p>
        </w:tc>
        <w:tc>
          <w:tcPr>
            <w:tcW w:type="dxa" w:w="3341"/>
            <w:vAlign w:val="center"/>
          </w:tcPr>
          <w:p>
            <w:r>
              <w:t>Preserve typed history and optional legacy flows without universal Q&amp;A gates</w:t>
            </w:r>
          </w:p>
        </w:tc>
        <w:tc>
          <w:tcPr>
            <w:tcW w:type="dxa" w:w="3341"/>
            <w:vAlign w:val="center"/>
          </w:tcPr>
          <w:p>
            <w:r>
              <w:t>Natural follow-ups preserve unresolved attempts and avoid unjustified repeats</w:t>
            </w:r>
          </w:p>
        </w:tc>
      </w:tr>
      <w:tr>
        <w:tc>
          <w:tcPr>
            <w:tcW w:type="dxa" w:w="3341"/>
          </w:tcPr>
          <w:p>
            <w:r>
              <w:rPr>
                <w:sz w:val="16"/>
              </w:rPr>
              <w:t>C2: Guardrails and cache</w:t>
            </w:r>
          </w:p>
        </w:tc>
        <w:tc>
          <w:tcPr>
            <w:tcW w:type="dxa" w:w="3341"/>
          </w:tcPr>
          <w:p>
            <w:r>
              <w:t>Integrate strict verifier, bounded revision, source/application checks, no-leakage progress and delivery integrity</w:t>
            </w:r>
          </w:p>
        </w:tc>
        <w:tc>
          <w:tcPr>
            <w:tcW w:type="dxa" w:w="3341"/>
          </w:tcPr>
          <w:p>
            <w:r>
              <w:t>Unseen questions, verification failures and exact saved/streamed/recovered output regressions pass; old caches disabled</w:t>
            </w:r>
          </w:p>
        </w:tc>
      </w:tr>
      <w:tr>
        <w:trPr>
          <w:cantSplit/>
        </w:trPr>
        <w:tc>
          <w:tcPr>
            <w:tcW w:type="dxa" w:w="3341"/>
            <w:vAlign w:val="center"/>
            <w:shd w:fill="F3F6FA"/>
          </w:tcPr>
          <w:p>
            <w:r>
              <w:rPr>
                <w:sz w:val="16"/>
              </w:rPr>
              <w:t>D: Multimodal and sharing</w:t>
            </w:r>
          </w:p>
        </w:tc>
        <w:tc>
          <w:tcPr>
            <w:tcW w:type="dxa" w:w="3341"/>
            <w:vAlign w:val="center"/>
            <w:shd w:fill="F3F6FA"/>
          </w:tcPr>
          <w:p>
            <w:r>
              <w:t>Text UI and safeguard components tested; install managed sessions, identity/rate/spend/retention controls; photos remain disabled until live text gate passes</w:t>
            </w:r>
          </w:p>
        </w:tc>
        <w:tc>
          <w:tcPr>
            <w:tcW w:type="dxa" w:w="3341"/>
            <w:vAlign w:val="center"/>
            <w:shd w:fill="F3F6FA"/>
          </w:tcPr>
          <w:p>
            <w:r>
              <w:rPr>
                <w:sz w:val="16"/>
              </w:rPr>
              <w:t>Fresh logged-out browser at shareable URL passes text, follow-up, photo, abstention and error tests</w:t>
            </w:r>
          </w:p>
        </w:tc>
      </w:tr>
      <w:tr>
        <w:trPr>
          <w:cantSplit/>
        </w:trPr>
        <w:tc>
          <w:tcPr>
            <w:tcW w:type="dxa" w:w="3341"/>
            <w:vAlign w:val="center"/>
          </w:tcPr>
          <w:p>
            <w:pPr>
              <w:spacing w:after="20"/>
            </w:pPr>
            <w:r>
              <w:rPr>
                <w:sz w:val="16"/>
              </w:rPr>
              <w:t>E: Evaluation + tuning</w:t>
            </w:r>
          </w:p>
        </w:tc>
        <w:tc>
          <w:tcPr>
            <w:tcW w:type="dxa" w:w="3341"/>
            <w:vAlign w:val="center"/>
          </w:tcPr>
          <w:p>
            <w:pPr>
              <w:spacing w:after="20"/>
            </w:pPr>
            <w:r>
              <w:rPr>
                <w:sz w:val="16"/>
              </w:rPr>
              <w:t>Annotate &gt;=25 gold cases; tests for unsupported and multi-hop; ablations</w:t>
            </w:r>
          </w:p>
        </w:tc>
        <w:tc>
          <w:tcPr>
            <w:tcW w:type="dxa" w:w="3341"/>
            <w:vAlign w:val="center"/>
          </w:tcPr>
          <w:p>
            <w:pPr>
              <w:spacing w:after="20"/>
            </w:pPr>
            <w:r>
              <w:rPr>
                <w:sz w:val="16"/>
              </w:rPr>
              <w:t>Release gate report with actual results</w:t>
            </w:r>
          </w:p>
        </w:tc>
      </w:tr>
      <w:tr>
        <w:trPr>
          <w:cantSplit/>
        </w:trPr>
        <w:tc>
          <w:tcPr>
            <w:tcW w:type="dxa" w:w="3341"/>
            <w:vAlign w:val="center"/>
            <w:shd w:fill="F3F6FA"/>
          </w:tcPr>
          <w:p>
            <w:pPr>
              <w:spacing w:after="20"/>
            </w:pPr>
            <w:r>
              <w:rPr>
                <w:sz w:val="16"/>
              </w:rPr>
              <w:t>F: Handover</w:t>
            </w:r>
          </w:p>
        </w:tc>
        <w:tc>
          <w:tcPr>
            <w:tcW w:type="dxa" w:w="3341"/>
            <w:vAlign w:val="center"/>
            <w:shd w:fill="F3F6FA"/>
          </w:tcPr>
          <w:p>
            <w:pPr>
              <w:spacing w:after="20"/>
            </w:pPr>
            <w:r>
              <w:rPr>
                <w:sz w:val="16"/>
              </w:rPr>
              <w:t>README, demo script, limitations, rollback, license check</w:t>
            </w:r>
          </w:p>
        </w:tc>
        <w:tc>
          <w:tcPr>
            <w:tcW w:type="dxa" w:w="3341"/>
            <w:vAlign w:val="center"/>
            <w:shd w:fill="F3F6FA"/>
          </w:tcPr>
          <w:p>
            <w:pPr>
              <w:spacing w:after="20"/>
            </w:pPr>
            <w:r>
              <w:rPr>
                <w:sz w:val="16"/>
              </w:rPr>
              <w:t>Reviewer can reproduce use cases from URL</w:t>
            </w:r>
          </w:p>
        </w:tc>
      </w:tr>
    </w:tbl>
    <w:p>
      <w:pPr>
        <w:spacing w:after="0"/>
      </w:pPr>
    </w:p>
    <w:p>
      <w:pPr>
        <w:pStyle w:val="Heading1"/>
      </w:pPr>
      <w:r>
        <w:rPr>
          <w:color w:val="000000"/>
        </w:rPr>
        <w:t>9  Release check and demo script</w:t>
      </w:r>
    </w:p>
    <w:p>
      <w:pPr>
        <w:pStyle w:val="ListNumber"/>
      </w:pPr>
      <w:r>
        <w:t>Open a new browser in a logged-out session; verify app URL and model/manual version banner</w:t>
      </w:r>
    </w:p>
    <w:p>
      <w:pPr>
        <w:pStyle w:val="ListNumber"/>
      </w:pPr>
      <w:r>
        <w:t>Ask an unseen natural manual question and inspect the actual verified response and server-derived citations; follow up naturally and confirm relevant history and unresolved attempts are preserved.</w:t>
      </w:r>
    </w:p>
    <w:p>
      <w:pPr>
        <w:pStyle w:val="ListNumber"/>
      </w:pPr>
      <w:r>
        <w:t>Try “I did that; it still does not work” to prove no false assumption and no looping</w:t>
      </w:r>
    </w:p>
    <w:p>
      <w:pPr>
        <w:pStyle w:val="ListNumber"/>
      </w:pPr>
      <w:r>
        <w:t>Upload a relevant photo; show visible-observation extraction, uncertainty and source lookup</w:t>
      </w:r>
    </w:p>
    <w:p>
      <w:pPr>
        <w:pStyle w:val="ListNumber"/>
      </w:pPr>
      <w:r>
        <w:t>Ask for an undocumented repair; show justified abstention and verified OEM escalation</w:t>
      </w:r>
    </w:p>
    <w:p>
      <w:pPr>
        <w:pStyle w:val="ListNumber"/>
      </w:pPr>
      <w:r>
        <w:t>Simulate retrieval failure; demonstrate SYSTEM_ERROR differs from “not documented”</w:t>
      </w:r>
    </w:p>
    <w:p>
      <w:pPr>
        <w:pStyle w:val="ListNumber"/>
      </w:pPr>
      <w:r>
        <w:t>Show evaluation table and representative trace; demonstrate at least one tracked improvement or deliberate trade-off</w:t>
      </w:r>
    </w:p>
    <w:p>
      <w:pPr>
        <w:pStyle w:val="Heading1"/>
      </w:pPr>
      <w:r>
        <w:rPr>
          <w:color w:val="000000"/>
        </w:rPr>
        <w:t>10  Known limitations and honest claims</w:t>
      </w:r>
    </w:p>
    <w:p>
      <w:pPr>
        <w:pStyle w:val="ListBullet"/>
      </w:pPr>
      <w:r>
        <w:t>The owner manual supports a provisional source-checked corpus; independent review, variant confirmation and held-out evaluation are still required before performance claims</w:t>
      </w:r>
    </w:p>
    <w:p>
      <w:pPr>
        <w:pStyle w:val="ListBullet"/>
      </w:pPr>
      <w:r>
        <w:t>App logic can fail closed, but semantic sufficiency classifiers and visual interpretations remain probabilistic</w:t>
      </w:r>
    </w:p>
    <w:p>
      <w:pPr>
        <w:pStyle w:val="ListBullet"/>
      </w:pPr>
      <w:r>
        <w:t>If OEM documentation is incomplete, the correct system behavior may be escalation rather than further instructions</w:t>
      </w:r>
    </w:p>
    <w:p>
      <w:pPr>
        <w:pStyle w:val="ListBullet"/>
      </w:pPr>
      <w:r>
        <w:t>A polished hosted demo is necessary, but it does not establish production readiness, field safety or verified repair success</w:t>
      </w:r>
    </w:p>
    <w:p>
      <w:pPr>
        <w:pStyle w:val="Heading1"/>
      </w:pPr>
      <w:r>
        <w:rPr>
          <w:color w:val="000000"/>
        </w:rPr>
        <w:t>11  Guardrail implementation checklist</w:t>
      </w:r>
    </w:p>
    <w:p>
      <w:pPr>
        <w:pStyle w:val="ListBullet"/>
      </w:pPr>
      <w:r>
        <w:t>G-01  Lock source checksum, manual edition and confirmed bike variant in each session; reject mismatches before retrieval or cached-answer lookup.</w:t>
      </w:r>
    </w:p>
    <w:p>
      <w:pPr>
        <w:pStyle w:val="ListBullet"/>
      </w:pPr>
      <w:r>
        <w:t>G-02  Check extraction completeness for warnings, prerequisites, table headers/units and figure references; send uncertain pages to manual review.</w:t>
      </w:r>
    </w:p>
    <w:p>
      <w:pPr>
        <w:pStyle w:val="ListBullet"/>
      </w:pPr>
      <w:r>
        <w:t>G-03  Preserve source applicability, reviewed context and immutable citations; draft privately and separately verify actual question coverage plus every technical claim. No StepDefinition, answer scope, authored response or canonical question is required for ordinary source-supported Q&amp;A.</w:t>
      </w:r>
    </w:p>
    <w:p>
      <w:pPr>
        <w:pStyle w:val="ListBullet"/>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pStyle w:val="ListBullet"/>
      </w:pPr>
      <w:r>
        <w:t>G-05  Keep SUPPORTED, AMBIGUOUS, UNSUPPORTED, SAFETY_STOP and SYSTEM_ERROR distinct; preserve verified safety-stop precedence; source review is not rider-resolvable.</w:t>
      </w:r>
    </w:p>
    <w:p>
      <w:pPr>
        <w:pStyle w:val="ListBullet"/>
      </w:pPr>
      <w:r>
        <w:t>G-06  Test prompt injection in user text, uploaded images and the manual; none may override source or safety rules.</w:t>
      </w:r>
    </w:p>
    <w:p>
      <w:pPr>
        <w:pStyle w:val="ListBullet"/>
      </w:pPr>
      <w:r>
        <w:t>G-07  Disable incompatible Arm A/exact-response shortcuts in initial integration. Future verified reuse needs exact query/state/version/accepted-response bindings and separate evaluation; similarity is never authorization.</w:t>
      </w:r>
    </w:p>
    <w:p>
      <w:pPr>
        <w:pStyle w:val="ListBullet"/>
      </w:pPr>
      <w:r>
        <w:t>G-08  Keep raw media out of ordinary logs, store keys server-side, and set file, rate and spend limits before a public demo.</w:t>
      </w:r>
    </w:p>
    <w:p>
      <w:pPr>
        <w:pStyle w:val="ListBullet"/>
      </w:pPr>
      <w:r>
        <w:t>G-09  Test unseen questions, partial support, irrelevant-but-relevant-looking passages, valid-but-unsupportive citations, omissions, history, injection, verifier failures, no leakage, and exact accepted/streamed/recovered equality. Independent source evaluation and fresh runtime review remain required.</w:t>
      </w:r>
    </w:p>
    <w:p>
      <w:pPr>
        <w:pStyle w:val="Heading1"/>
      </w:pPr>
      <w:r>
        <w:rPr>
          <w:color w:val="000000"/>
        </w:rPr>
        <w:t>Reference documentation</w:t>
      </w:r>
    </w:p>
    <w:p>
      <w:pPr>
        <w:pStyle w:val="ListBullet"/>
      </w:pPr>
      <w:r>
        <w:rPr>
          <w:b/>
        </w:rPr>
        <w:t xml:space="preserve">Docling hierarchical and hybrid chunking: </w:t>
      </w:r>
      <w:r>
        <w:rPr>
          <w:sz w:val="16"/>
        </w:rPr>
        <w:t>https://docling-project.github.io/docling/concepts/chunking/</w:t>
      </w:r>
    </w:p>
    <w:p>
      <w:pPr>
        <w:pStyle w:val="ListBullet"/>
      </w:pPr>
      <w:r>
        <w:rPr>
          <w:b/>
        </w:rPr>
        <w:t xml:space="preserve">Qdrant hybrid and multi-stage search: </w:t>
      </w:r>
      <w:r>
        <w:rPr>
          <w:sz w:val="16"/>
        </w:rPr>
        <w:t>https://qdrant.tech/documentation/search/hybrid-queries/</w:t>
      </w:r>
    </w:p>
    <w:p>
      <w:pPr>
        <w:pStyle w:val="ListBullet"/>
      </w:pPr>
      <w:r>
        <w:rPr>
          <w:b/>
        </w:rPr>
        <w:t xml:space="preserve">Google Research: sufficient context for RAG: </w:t>
      </w:r>
      <w:r>
        <w:rPr>
          <w:sz w:val="16"/>
        </w:rPr>
        <w:t>https://research.google/blog/deeper-insights-into-retrieval-augmented-generation-the-role-of-sufficient-context/</w:t>
      </w:r>
    </w:p>
    <w:p>
      <w:pPr>
        <w:pStyle w:val="ListBullet"/>
      </w:pPr>
      <w:r>
        <w:rPr>
          <w:b/>
        </w:rPr>
        <w:t xml:space="preserve">Streamlit Community Cloud deployment: </w:t>
      </w:r>
      <w:r>
        <w:rPr>
          <w:sz w:val="16"/>
        </w:rPr>
        <w:t>https://docs.streamlit.io/deploy/streamlit-community-cloud/deploy-your-app/deploy</w:t>
      </w:r>
    </w:p>
    <w:p>
      <w:pPr>
        <w:pStyle w:val="ListBullet"/>
      </w:pPr>
      <w:r>
        <w:rPr>
          <w:b/>
        </w:rPr>
        <w:t xml:space="preserve">Sarvam streaming speech-to-text: </w:t>
      </w:r>
      <w:r>
        <w:rPr>
          <w:sz w:val="16"/>
        </w:rPr>
        <w:t>https://docs.sarvam.ai/api/api-guides-tutorials/speech-to-text/streaming-api</w:t>
      </w:r>
    </w:p>
    <w:p>
      <w:pPr>
        <w:pStyle w:val="ListBullet"/>
      </w:pPr>
      <w:r>
        <w:rPr>
          <w:b/>
        </w:rPr>
        <w:t xml:space="preserve">Langfuse evaluation datasets: </w:t>
      </w:r>
      <w:r>
        <w:rPr>
          <w:sz w:val="16"/>
        </w:rPr>
        <w:t>https://langfuse.com/docs/evaluation/experiments/datasets</w:t>
      </w:r>
    </w:p>
    <w:p>
      <w:pPr>
        <w:pStyle w:val="Heading1"/>
      </w:pPr>
      <w:r>
        <w:rPr>
          <w:color w:val="000000"/>
        </w:rPr>
        <w:t>Historical hosted status and bounded policy from 9 October 2026</w:t>
      </w:r>
    </w:p>
    <w:p>
      <w:r>
        <w:t>Hosted ingestion and embedding comparisons are complete. The selected BGE M3 index index_a3282c4d98cf54595e4ba168 has 532 search chunks and 277 section parents at a 1,024-token budget. Authenticated Cloud Run Qdrant serves immutable vectors from private Cloud Storage with min zero and max one instance; cold starts restore vectors without reparsing or re-embedding. The recorded backend smoke report passes 11/11 checks. Rider UI, integrated eligibility controller and gated generator remain pending; may_generate_procedural_advice stays false.</w:t>
      </w:r>
    </w:p>
    <w:p>
      <w:r>
        <w:t>Section parents are contextual candidates. Independent review must establish procedure boundaries and approve StepDefinition, ApplicabilityRule and per-step dependency manifests against the original pages. A missing, empty, stale or unapproved dependency set cannot establish sufficiency. PDF page 103 has a flagged whole-page text/image fallback after Docling omission. Confirm year, market, variant, edition, source URL, display/hosting rights and the OEM service route before public advice.</w:t>
      </w:r>
    </w:p>
    <w:p>
      <w:r>
        <w:t>Use dense cosine retrieval plus BM25 and RRF, initial parent/dependency assembly, source and applicability checks, at most one exact-ID recovery for approved missing dependencies, and at most one conditional cross-encoder attempt for uncertain ordering. Reassemble while retaining mandatory evidence. Missing review must not trigger reranking. Conditional is the normal policy; off and always_diagnostic are ablations. Current unreviewed bundles skip reranking and block technical generation.</w:t>
      </w:r>
    </w:p>
    <w:p>
      <w:r>
        <w:t>Provisional retrieval bounds are fused pool 20, five assembled hits, recovery pool 40, rerank pool 20, 100 query/passage pairs and 256 mandatory dependency IDs. More than 256 dependencies yields SYSTEM_ERROR without truncation. Distinct-parent top-three overlap below 0.5 or relative RRF margin at most 0.05 are PROVISIONAL_UNCALIBRATED. Zero BM25 matches provide no agreement signal. Queries beyond the current cross-encoder 128-token bound skip inference with an explicit reason and retain full input. Independently reviewed calibration and held-out evaluation remain required.</w:t>
      </w:r>
    </w:p>
    <w:p>
      <w:r>
        <w:t>Measure warm text p50 &lt;=2.5 seconds and p95 &lt;=5 seconds, photo p95 &lt;=10 seconds, with cold starts separate. TTFO runs from confirmed input to the first releasable answer token; loading indicators do not count and technical tokens remain withheld until validation. Report fast, recovery/rerank and combined p95, fallback frequency, stage failures and cost per correctly handled case.</w:t>
      </w:r>
    </w:p>
    <w:p>
      <w:r>
        <w:t>Exact reviewed paths are keyed by manual checksum, confirmed variant, intent/relevant symptoms, typed outcomes, flow/controller and policy versions, with prompt and approval dependencies. Draft, stale and mismatched entries miss closed. Changes to rules, review, dependencies or policy invalidate affected cache entries and cases. Manual checksum, parser/chunker or embedding changes create a new index version; unchanged document vectors are reused for retrieval-policy changes.</w:t>
      </w:r>
    </w:p>
    <w:p>
      <w:r>
        <w:t>The authorized private repository is Maneshwar-Kumar/motomedic-ai and the GCP project is motomedic-ai-20261009, under a US$10 project limit. The non-recurring INR800 budget starts 9 October 2026, alerts at INR400/640/800 and uses a simulation-checked live billing-disconnect guard at INR640 with retry delivery. Delayed reporting prevents an instantaneous exact cap. Do not re-enable billing after a real budget stop without owner authorization. Add per-user rate, upload and per-day spend limits before the public UI.</w:t>
      </w:r>
    </w:p>
    <w:p>
      <w:pPr>
        <w:pStyle w:val="Heading1"/>
      </w:pPr>
      <w:r>
        <w:rPr>
          <w:color w:val="000000"/>
        </w:rPr>
        <w:t>Historical Reconciliation change record 9 October 2026</w:t>
      </w:r>
    </w:p>
    <w:p>
      <w:r>
        <w:t>These changes reconcile earlier planning language with TRD v0.4 and recorded project evidence. They do not claim new runtime functionality or source approval.</w:t>
      </w:r>
    </w:p>
    <w:p>
      <w:pPr>
        <w:pStyle w:val="Heading2"/>
      </w:pPr>
      <w:r>
        <w:rPr>
          <w:color w:val="000000"/>
        </w:rPr>
        <w:t>Document authority</w:t>
      </w:r>
    </w:p>
    <w:p>
      <w:pPr>
        <w:keepNext/>
      </w:pPr>
      <w:r>
        <w:t>Previously: Four v0.2 drafts lacked a clear precedence rule.</w:t>
      </w:r>
    </w:p>
    <w:p>
      <w:r>
        <w:t>Now: TRD v0.4 governs design and technical contracts; other documents refreshed to v0.3; manual remains the authority for bike facts.</w:t>
      </w:r>
    </w:p>
    <w:p>
      <w:pPr>
        <w:pStyle w:val="Heading2"/>
      </w:pPr>
      <w:r>
        <w:rPr>
          <w:color w:val="000000"/>
        </w:rPr>
        <w:t>Build and hosting</w:t>
      </w:r>
    </w:p>
    <w:p>
      <w:pPr>
        <w:keepNext/>
      </w:pPr>
      <w:r>
        <w:t>Previously: Offline ingestion wording and Streamlit Community Cloud as the provisional host; local NumPy/LSA baseline.</w:t>
      </w:r>
    </w:p>
    <w:p>
      <w:r>
        <w:t>Now: Hosted versioned GitHub ingestion; authenticated Cloud Run Qdrant with private Storage; Streamlit rider UI still pending.</w:t>
      </w:r>
    </w:p>
    <w:p>
      <w:pPr>
        <w:pStyle w:val="Heading2"/>
      </w:pPr>
      <w:r>
        <w:rPr>
          <w:color w:val="000000"/>
        </w:rPr>
        <w:t>Embeddings and chunking</w:t>
      </w:r>
    </w:p>
    <w:p>
      <w:pPr>
        <w:keepNext/>
      </w:pPr>
      <w:r>
        <w:t>Previously: Compact embedding baseline; hierarchical chunking without a selected hosted budget.</w:t>
      </w:r>
    </w:p>
    <w:p>
      <w:r>
        <w:t>Now: BGE M3 candidate selected with 1,024-token chunks, 532 search children and 277 section parents; reviewed procedure boundaries still pending.</w:t>
      </w:r>
    </w:p>
    <w:p>
      <w:pPr>
        <w:pStyle w:val="Heading2"/>
      </w:pPr>
      <w:r>
        <w:rPr>
          <w:color w:val="000000"/>
        </w:rPr>
        <w:t>Reranking</w:t>
      </w:r>
    </w:p>
    <w:p>
      <w:pPr>
        <w:keepNext/>
      </w:pPr>
      <w:r>
        <w:t>Previously: Generic conditional reranker or local lexical second pass with no explicit scheduling contract.</w:t>
      </w:r>
    </w:p>
    <w:p>
      <w:r>
        <w:t>Now: One exact dependency recovery and one conditional cross-encoder attempt; source review first; distinct-parent triggers provisional; mandatory evidence survives reassembly.</w:t>
      </w:r>
    </w:p>
    <w:p>
      <w:pPr>
        <w:pStyle w:val="Heading2"/>
      </w:pPr>
      <w:r>
        <w:rPr>
          <w:color w:val="000000"/>
        </w:rPr>
        <w:t>Evidence sufficiency</w:t>
      </w:r>
    </w:p>
    <w:p>
      <w:pPr>
        <w:keepNext/>
      </w:pPr>
      <w:r>
        <w:t>Previously: Attach prerequisites/warnings and verify claims without an explicit approved dependency manifest.</w:t>
      </w:r>
    </w:p>
    <w:p>
      <w:r>
        <w:t>Now: Required/attached/missing IDs plus manifest version/review; empty or unreviewed set fails closed; page presence alone is insufficient.</w:t>
      </w:r>
    </w:p>
    <w:p>
      <w:pPr>
        <w:pStyle w:val="Heading2"/>
      </w:pPr>
      <w:r>
        <w:rPr>
          <w:color w:val="000000"/>
        </w:rPr>
        <w:t>Controller authority</w:t>
      </w:r>
    </w:p>
    <w:p>
      <w:pPr>
        <w:keepNext/>
      </w:pPr>
      <w:r>
        <w:t>Previously: Deterministic state machine described broadly; no approved rule registry or three-valued contract.</w:t>
      </w:r>
    </w:p>
    <w:p>
      <w:r>
        <w:t>Now: Approved StepDefinition and ApplicabilityRule records; TRUE/FALSE/UNKNOWN predicates; eligibility distinct from evidence and final validation.</w:t>
      </w:r>
    </w:p>
    <w:p>
      <w:pPr>
        <w:pStyle w:val="Heading2"/>
      </w:pPr>
      <w:r>
        <w:rPr>
          <w:color w:val="000000"/>
        </w:rPr>
        <w:t>Clarification and failure routing</w:t>
      </w:r>
    </w:p>
    <w:p>
      <w:pPr>
        <w:keepNext/>
      </w:pPr>
      <w:r>
        <w:t>Previously: Partial evidence could clarify; answer/clarify/abstain aliases and unsafe/unsupported merged in the diagram.</w:t>
      </w:r>
    </w:p>
    <w:p>
      <w:r>
        <w:t>Now: Five canonical statuses; safety-stop precedence; rider questions only for resolvable facts; source gaps block; outages stay SYSTEM_ERROR.</w:t>
      </w:r>
    </w:p>
    <w:p>
      <w:pPr>
        <w:pStyle w:val="Heading2"/>
      </w:pPr>
      <w:r>
        <w:rPr>
          <w:color w:val="000000"/>
        </w:rPr>
        <w:t>Corrections and release priorities</w:t>
      </w:r>
    </w:p>
    <w:p>
      <w:pPr>
        <w:keepNext/>
      </w:pPr>
      <w:r>
        <w:t>Previously: Correction/backtracking P1; caching and tracing positioned as enhancements.</w:t>
      </w:r>
    </w:p>
    <w:p>
      <w:r>
        <w:t>Now: Corrections P0 under immutable attempts; basic tracing/cache rejection required before release; optional voice and expanded cache coverage remain P1.</w:t>
      </w:r>
    </w:p>
    <w:p>
      <w:pPr>
        <w:pStyle w:val="Heading2"/>
      </w:pPr>
      <w:r>
        <w:rPr>
          <w:color w:val="000000"/>
        </w:rPr>
        <w:t>Caching and versioning</w:t>
      </w:r>
    </w:p>
    <w:p>
      <w:pPr>
        <w:keepNext/>
      </w:pPr>
      <w:r>
        <w:t>Previously: Checksum/variant/path/prompt keys with incomplete review and dependency invalidation detail.</w:t>
      </w:r>
    </w:p>
    <w:p>
      <w:r>
        <w:t>Now: Only independently reviewed exact paths; affected rule/review/dependency/policy changes invalidate cache; policy updates reuse unchanged vectors.</w:t>
      </w:r>
    </w:p>
    <w:p>
      <w:pPr>
        <w:pStyle w:val="Heading2"/>
      </w:pPr>
      <w:r>
        <w:rPr>
          <w:color w:val="000000"/>
        </w:rPr>
        <w:t>Evaluation and latency</w:t>
      </w:r>
    </w:p>
    <w:p>
      <w:pPr>
        <w:keepNext/>
      </w:pPr>
      <w:r>
        <w:t>Previously: Provisional targets with generic rerank comparisons and no TTFO definition.</w:t>
      </w:r>
    </w:p>
    <w:p>
      <w:r>
        <w:t>Now: Retain targets; reviewed eligibility/assembly regressions, off/always/conditional held-out evaluation, first releasable token timing and separate/combined path p95.</w:t>
      </w:r>
    </w:p>
    <w:p>
      <w:pPr>
        <w:pStyle w:val="Heading2"/>
      </w:pPr>
      <w:r>
        <w:rPr>
          <w:color w:val="000000"/>
        </w:rPr>
        <w:t>Spending</w:t>
      </w:r>
    </w:p>
    <w:p>
      <w:pPr>
        <w:keepNext/>
      </w:pPr>
      <w:r>
        <w:t>Previously: Budget to be decided after provider selection.</w:t>
      </w:r>
    </w:p>
    <w:p>
      <w:r>
        <w:t>Now: Authorized US$10 project scope, INR800 non-recurring budget, alerts INR400/640/800, live guard INR640; delayed reporting caveat; UI daily limits pending.</w:t>
      </w:r>
    </w:p>
    <w:p>
      <w:pPr>
        <w:pStyle w:val="Heading2"/>
      </w:pPr>
      <w:r>
        <w:rPr>
          <w:color w:val="000000"/>
        </w:rPr>
        <w:t>Reported progress</w:t>
      </w:r>
    </w:p>
    <w:p>
      <w:pPr>
        <w:keepNext/>
      </w:pPr>
      <w:r>
        <w:t>Previously: Index, deployment and documentation inventory largely marked to build.</w:t>
      </w:r>
    </w:p>
    <w:p>
      <w:r>
        <w:t>Now: Hosted candidate build and recorded 11/11 backend checks complete; source approvals, UI, integrated controller/generator, holdout and public release remain open.</w:t>
      </w:r>
    </w:p>
    <w:p>
      <w:r>
        <w:br w:type="page"/>
      </w:r>
    </w:p>
    <w:p>
      <w:pPr>
        <w:pStyle w:val="Heading1"/>
      </w:pPr>
      <w:r>
        <w:rPr>
          <w:color w:val="000000"/>
        </w:rPr>
        <w:t>Historical Rider UI and safeguards reconciliation 11 October 2026</w:t>
      </w:r>
    </w:p>
    <w:p>
      <w:r>
        <w:t>This dated update reconciles the owner's UI, context, input-limit, system-prompt and guardrail requests with current implementation evidence. It supersedes historical progress statuses, without changing TRD v0.4 evidence contracts or the exact 161 approved initial and source scopes. The current working checklist is TODO.md.</w:t>
      </w:r>
    </w:p>
    <w:p>
      <w:pPr>
        <w:pStyle w:val="Heading2"/>
      </w:pPr>
      <w:r>
        <w:rPr>
          <w:color w:val="000000"/>
        </w:rPr>
        <w:t>Completed components</w:t>
      </w:r>
    </w:p>
    <w:p>
      <w:pPr>
        <w:pStyle w:val="ListBullet"/>
      </w:pPr>
      <w:r>
        <w:t>The text chat input is inside What are you noticing. The entire category dropdown is removed. The UI submits symptoms for hosted intent resolution; the service must clarify ambiguous intent and apply the normal evidence gates before answering. Saved owner HTML wording and field-level removals are preserved.</w:t>
      </w:r>
    </w:p>
    <w:p>
      <w:pPr>
        <w:pStyle w:val="ListBullet"/>
      </w:pPr>
      <w:r>
        <w:t>Start a new conversation clears displayed messages and detaches the active diagnostic session, pending and error state. Bike/manual confirmation may remain. It does not delete stored records or reset visitor limits; reset is disabled while an operation is unresolved.</w:t>
      </w:r>
    </w:p>
    <w:p>
      <w:pPr>
        <w:pStyle w:val="ListBullet"/>
      </w:pPr>
      <w:r>
        <w:t>The UI and client enforce 2,000-character messages. Reusable hosted validators check text encoding, JSON byte limits, photo MIME and decoding, animation, image dimensions, pixels and compressed bytes. Photo support remains disabled.</w:t>
      </w:r>
    </w:p>
    <w:p>
      <w:pPr>
        <w:pStyle w:val="ListBullet"/>
      </w:pPr>
      <w:r>
        <w:t>Atomic admission checks cover visitor and conversation turn/photo quotas. Complete-request token/byte checks refuse overflow or missing token counting. A deterministic projection preserves all active typed attempts and facts.</w:t>
      </w:r>
    </w:p>
    <w:p>
      <w:pPr>
        <w:pStyle w:val="ListBullet"/>
      </w:pPr>
      <w:r>
        <w:t>A project-derived versioned system policy defines generator, verifier, interpreter and observation-only vision roles. A manifest binds policy bytes. Changed bytes or an unknown role fail closed. This policy is not installed in the shared serving runtime.</w:t>
      </w:r>
    </w:p>
    <w:p>
      <w:pPr>
        <w:pStyle w:val="ListBullet"/>
      </w:pPr>
      <w:r>
        <w:t>Validation passes 31 engineering tests and five desktop/mobile browser checks, including inline input, no category selector, structured unresolved feedback and no overflow. These are synthetic software checks, not live source/model quality or hosted release acceptance.</w:t>
      </w:r>
    </w:p>
    <w:p>
      <w:pPr>
        <w:pStyle w:val="Heading2"/>
      </w:pPr>
      <w:r>
        <w:rPr>
          <w:color w:val="000000"/>
        </w:rPr>
        <w:t>Initial application limits</w:t>
      </w:r>
    </w:p>
    <w:p>
      <w:pPr>
        <w:pStyle w:val="ListBullet"/>
      </w:pPr>
      <w:r>
        <w:t>Text: 2,000 Unicode characters and 8,000 UTF-8 bytes per message; JSON request body 16 KiB.</w:t>
      </w:r>
    </w:p>
    <w:p>
      <w:pPr>
        <w:pStyle w:val="ListBullet"/>
      </w:pPr>
      <w:r>
        <w:t>Photos: one per turn, 5 MiB each, JPEG/PNG/WebP only; three per conversation and six per visitor per rolling 24 hours. Single frame, at most 20 megapixels and 10,000 pixels per side; normalize to at most 1,600 pixels per side and strip metadata.</w:t>
      </w:r>
    </w:p>
    <w:p>
      <w:pPr>
        <w:pStyle w:val="ListBullet"/>
      </w:pPr>
      <w:r>
        <w:t>Turns: 20 accepted rider turns per conversation; six per visitor per rolling minute and 30 per rolling 24 hours. New conversations do not reset visitor counts. Failed admitted turns consume their reservation.</w:t>
      </w:r>
    </w:p>
    <w:p>
      <w:pPr>
        <w:pStyle w:val="ListBullet"/>
      </w:pPr>
      <w:r>
        <w:t>Model: 8,192 counted input tokens and 24,000 serialized request bytes including policy, schema, evidence and state; at most 1,800 output tokens. These are application bounds, not verified provider quotas.</w:t>
      </w:r>
    </w:p>
    <w:p>
      <w:pPr>
        <w:pStyle w:val="ListBullet"/>
      </w:pPr>
      <w:r>
        <w:t>Retention: 30-minute idle expiry and 24-hour session/operation lifetime; raw and normalized media deletion within 15 minutes. Actual managed TTL and deletion jobs remain required.</w:t>
      </w:r>
    </w:p>
    <w:p>
      <w:pPr>
        <w:pStyle w:val="Heading2"/>
      </w:pPr>
      <w:r>
        <w:rPr>
          <w:color w:val="000000"/>
        </w:rPr>
        <w:t>Context management</w:t>
      </w:r>
    </w:p>
    <w:p>
      <w:r>
        <w:t>There is no automatic LLM compaction in the current application. Composer requests contain current selected evidence and the last 12 active attempt identifiers/outcomes, rather than an accumulated chat transcript. The controller retains complete typed history. Twelve attempts is not a model-window limit. The new projection preserves every active outcome and confirmed fact; immutable superseded events remain in managed storage. Never summarize away required warnings, prerequisites, source citations or unresolved outcomes. A request that cannot fit its complete budget is withheld as an operational failure, rather than silently truncated. There is no fixed number of turns before a context window fills; the 20-turn cap is an abuse bound.</w:t>
      </w:r>
    </w:p>
    <w:p>
      <w:pPr>
        <w:pStyle w:val="Heading2"/>
      </w:pPr>
      <w:r>
        <w:rPr>
          <w:color w:val="000000"/>
        </w:rPr>
        <w:t>Hosted release items still open</w:t>
      </w:r>
    </w:p>
    <w:p>
      <w:pPr>
        <w:pStyle w:val="ListBullet"/>
      </w:pPr>
      <w:r>
        <w:t>Install the hosted catalogue, session, feedback and recovery API with managed transactional session storage, ownership, CAS versions and idempotent responses.</w:t>
      </w:r>
    </w:p>
    <w:p>
      <w:pPr>
        <w:pStyle w:val="ListBullet"/>
      </w:pPr>
      <w:r>
        <w:t>Enforce trusted visitor/IP and project limits across workers, signed capabilities and challenges for reset abuse; reserve per-day spend and provider calls before inference. An admission-store outage blocks new inference.</w:t>
      </w:r>
    </w:p>
    <w:p>
      <w:pPr>
        <w:pStyle w:val="ListBullet"/>
      </w:pPr>
      <w:r>
        <w:t>Install the new system/role policy and context request in a reviewed runtime version, invalidate affected response caches, verify exact-model token counting and preserve the approved source package.</w:t>
      </w:r>
    </w:p>
    <w:p>
      <w:pPr>
        <w:pStyle w:val="ListBullet"/>
      </w:pPr>
      <w:r>
        <w:t>Enforce actual streamed body/upload limits, decode worker resources, idle/session TTL, media deletion and redacted correlated telemetry.</w:t>
      </w:r>
    </w:p>
    <w:p>
      <w:pPr>
        <w:pStyle w:val="ListBullet"/>
      </w:pPr>
      <w:r>
        <w:t>Pass Browser to hosted controller to real BGE and BM25 to dependency assembly to gated generation and verifier to complete cited response, with cache bypassed. Record actual warm/cold p95, errors and cost; three samples cannot establish p95.</w:t>
      </w:r>
    </w:p>
    <w:p>
      <w:pPr>
        <w:pStyle w:val="ListBullet"/>
      </w:pPr>
      <w:r>
        <w:t>Only after text acceptance, connect and evaluate observation-only photos through the same evidence gate. Complete held-out and adaptive evaluation, deployment and rollback/retention handover.</w:t>
      </w:r>
    </w:p>
    <w:p>
      <w:r>
        <w:t>No generic human-only source blocker is reinstated for the exact approved v3 scopes. New prompt/runtime bindings still require exact-version review. No model substitution, provider calls, billing restart, index rebuild or deployment is implied by this reconciliation. See rider_ui/SERVICE_SAFEGUARDS.md, TODO.md and IMPLEMENTATION_PROGRESS.md for implementation and remaining evidence.</w:t>
      </w:r>
    </w:p>
    <w:sectPr w:rsidR="00FC693F" w:rsidRPr="0006063C" w:rsidSect="00034616">
      <w:headerReference w:type="default" r:id="rId9"/>
      <w:footerReference w:type="default" r:id="rId10"/>
      <w:footerReference w:type="first" r:id="rId11"/>
      <w:footerReference w:type="even" r:id="rId12"/>
      <w:headerReference w:type="first" r:id="rId13"/>
      <w:headerReference w:type="even" r:id="rId14"/>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071"/>
        <w:sz w:val="16"/>
      </w:rPr>
      <w:t xml:space="preserve">DRAFT • OWNER-MANUAL PILOT     |     11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2.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coreProperties>
</file>