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MotoMedic AI build and evaluation decisions</w:t>
      </w:r>
    </w:p>
    <w:p>
      <w:pPr>
        <w:pStyle w:val="Subtitle"/>
      </w:pPr>
      <w:r>
        <w:rPr>
          <w:color w:val="000000"/>
        </w:rPr>
        <w:t>Execution inventory, design decisions, scenarios, golden-case framework and release checklist</w:t>
      </w:r>
    </w:p>
    <w:p>
      <w:r>
        <w:rPr>
          <w:b/>
          <w:color w:val="B5631D"/>
          <w:sz w:val="17"/>
        </w:rPr>
        <w:t>v0.3  Refreshed 9 October 2026  Aligned to TRD v0.4</w:t>
      </w:r>
    </w:p>
    <w:p>
      <w:pPr/>
      <w:r>
        <w:t>TRD v0.4 is the authoritative design and technical contract as of 9 October 2026. This document follows it. The approved owner manual governs motorcycle facts; source applicability, rights, independent review and release gates remain mandatory. Recorded implementation progress does not constitute release approval.</w:t>
      </w:r>
    </w:p>
    <w:p>
      <w:pPr>
        <w:pStyle w:val="Heading1"/>
      </w:pPr>
      <w:r>
        <w:rPr>
          <w:color w:val="000000"/>
        </w:rPr>
        <w:t>1  Documentation and build register</w:t>
      </w:r>
    </w:p>
    <w:p>
      <w:r>
        <w:t>This register is the design note and TODO inventory for the concept, PRD and authoritative TRD v0.4. It records adopted choices, measured candidate results, alternatives and pending work. Completion of ingestion or a backend smoke test does not establish source sufficiency, controller integration or public-demo readiness.</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trPr>
        <w:tc>
          <w:tcPr>
            <w:tcW w:type="dxa" w:w="3341"/>
            <w:shd w:fill="102238"/>
          </w:tcPr>
          <w:p>
            <w:pPr>
              <w:keepNext/>
            </w:pPr>
            <w:r>
              <w:rPr>
                <w:b/>
                <w:color w:val="FFFFFF"/>
                <w:sz w:val="16"/>
              </w:rPr>
              <w:t>Asset</w:t>
            </w:r>
          </w:p>
        </w:tc>
        <w:tc>
          <w:tcPr>
            <w:tcW w:type="dxa" w:w="3341"/>
            <w:shd w:fill="102238"/>
          </w:tcPr>
          <w:p>
            <w:r>
              <w:rPr>
                <w:b/>
                <w:color w:val="FFFFFF"/>
                <w:sz w:val="16"/>
              </w:rPr>
              <w:t>Status</w:t>
            </w:r>
          </w:p>
        </w:tc>
        <w:tc>
          <w:tcPr>
            <w:tcW w:type="dxa" w:w="3341"/>
            <w:shd w:fill="102238"/>
          </w:tcPr>
          <w:p>
            <w:r>
              <w:rPr>
                <w:b/>
                <w:color w:val="FFFFFF"/>
                <w:sz w:val="16"/>
              </w:rPr>
              <w:t>Trigger / exit criterion</w:t>
            </w:r>
          </w:p>
        </w:tc>
      </w:tr>
      <w:tr>
        <w:trPr>
          <w:cantSplit/>
        </w:trPr>
        <w:tc>
          <w:tcPr>
            <w:tcW w:type="dxa" w:w="3341"/>
            <w:vAlign w:val="center"/>
          </w:tcPr>
          <w:p>
            <w:r>
              <w:rPr>
                <w:sz w:val="16"/>
              </w:rPr>
              <w:t>Concept architecture + editable flowchart</w:t>
            </w:r>
          </w:p>
        </w:tc>
        <w:tc>
          <w:tcPr>
            <w:tcW w:type="dxa" w:w="3341"/>
            <w:vAlign w:val="center"/>
          </w:tcPr>
          <w:p>
            <w:r>
              <w:rPr>
                <w:sz w:val="16"/>
              </w:rPr>
              <w:t>REFRESHED v0.3</w:t>
            </w:r>
          </w:p>
        </w:tc>
        <w:tc>
          <w:tcPr>
            <w:tcW w:type="dxa" w:w="3341"/>
            <w:vAlign w:val="center"/>
          </w:tcPr>
          <w:p>
            <w:r>
              <w:rPr>
                <w:sz w:val="16"/>
              </w:rPr>
              <w:t>Aligned to TRD v0.4; source and release approval pending</w:t>
            </w:r>
          </w:p>
        </w:tc>
      </w:tr>
      <w:tr>
        <w:trPr>
          <w:cantSplit/>
        </w:trPr>
        <w:tc>
          <w:tcPr>
            <w:tcW w:type="dxa" w:w="3341"/>
            <w:vAlign w:val="center"/>
            <w:shd w:fill="F3F6FA"/>
          </w:tcPr>
          <w:p>
            <w:r>
              <w:rPr>
                <w:sz w:val="16"/>
              </w:rPr>
              <w:t>PRD and functional acceptance criteria</w:t>
            </w:r>
          </w:p>
        </w:tc>
        <w:tc>
          <w:tcPr>
            <w:tcW w:type="dxa" w:w="3341"/>
            <w:vAlign w:val="center"/>
            <w:shd w:fill="F3F6FA"/>
          </w:tcPr>
          <w:p>
            <w:r>
              <w:rPr>
                <w:sz w:val="16"/>
              </w:rPr>
              <w:t>REFRESHED v0.3</w:t>
            </w:r>
          </w:p>
        </w:tc>
        <w:tc>
          <w:tcPr>
            <w:tcW w:type="dxa" w:w="3341"/>
            <w:vAlign w:val="center"/>
            <w:shd w:fill="F3F6FA"/>
          </w:tcPr>
          <w:p>
            <w:r>
              <w:rPr>
                <w:sz w:val="16"/>
              </w:rPr>
              <w:t>Reviewed-rule, evidence, cache and route gates specified</w:t>
            </w:r>
          </w:p>
        </w:tc>
      </w:tr>
      <w:tr>
        <w:trPr>
          <w:cantSplit/>
        </w:trPr>
        <w:tc>
          <w:tcPr>
            <w:tcW w:type="dxa" w:w="3341"/>
            <w:vAlign w:val="center"/>
          </w:tcPr>
          <w:p>
            <w:r>
              <w:rPr>
                <w:sz w:val="16"/>
              </w:rPr>
              <w:t>TRD + data and state contracts</w:t>
            </w:r>
          </w:p>
        </w:tc>
        <w:tc>
          <w:tcPr>
            <w:tcW w:type="dxa" w:w="3341"/>
            <w:vAlign w:val="center"/>
          </w:tcPr>
          <w:p>
            <w:r>
              <w:rPr>
                <w:sz w:val="16"/>
              </w:rPr>
              <w:t>AUTHORITATIVE v0.4</w:t>
            </w:r>
          </w:p>
        </w:tc>
        <w:tc>
          <w:tcPr>
            <w:tcW w:type="dxa" w:w="3341"/>
            <w:vAlign w:val="center"/>
          </w:tcPr>
          <w:p>
            <w:r>
              <w:rPr>
                <w:sz w:val="16"/>
              </w:rPr>
              <w:t>Implementation must satisfy registry/controller and release contracts</w:t>
            </w:r>
          </w:p>
        </w:tc>
      </w:tr>
      <w:tr>
        <w:trPr>
          <w:cantSplit/>
        </w:trPr>
        <w:tc>
          <w:tcPr>
            <w:tcW w:type="dxa" w:w="3341"/>
            <w:vAlign w:val="center"/>
            <w:shd w:fill="F3F6FA"/>
          </w:tcPr>
          <w:p>
            <w:pPr>
              <w:spacing w:after="20"/>
            </w:pPr>
            <w:r>
              <w:rPr>
                <w:sz w:val="16"/>
              </w:rPr>
              <w:t>Scenario and user journey catalogue</w:t>
            </w:r>
          </w:p>
        </w:tc>
        <w:tc>
          <w:tcPr>
            <w:tcW w:type="dxa" w:w="3341"/>
            <w:vAlign w:val="center"/>
            <w:shd w:fill="F3F6FA"/>
          </w:tcPr>
          <w:p>
            <w:pPr>
              <w:spacing w:after="20"/>
            </w:pPr>
            <w:r>
              <w:rPr>
                <w:sz w:val="16"/>
              </w:rPr>
              <w:t>SEE SECTION 2</w:t>
            </w:r>
          </w:p>
        </w:tc>
        <w:tc>
          <w:tcPr>
            <w:tcW w:type="dxa" w:w="3341"/>
            <w:vAlign w:val="center"/>
            <w:shd w:fill="F3F6FA"/>
          </w:tcPr>
          <w:p>
            <w:pPr>
              <w:spacing w:after="20"/>
            </w:pPr>
            <w:r>
              <w:rPr>
                <w:sz w:val="16"/>
              </w:rPr>
              <w:t>Populate manual-backed paths</w:t>
            </w:r>
          </w:p>
        </w:tc>
      </w:tr>
      <w:tr>
        <w:trPr>
          <w:cantSplit/>
        </w:trPr>
        <w:tc>
          <w:tcPr>
            <w:tcW w:type="dxa" w:w="3341"/>
            <w:vAlign w:val="center"/>
          </w:tcPr>
          <w:p>
            <w:pPr>
              <w:spacing w:after="20"/>
            </w:pPr>
            <w:r>
              <w:rPr>
                <w:sz w:val="16"/>
              </w:rPr>
              <w:t>Golden Q&amp;A set: 25–100</w:t>
            </w:r>
          </w:p>
        </w:tc>
        <w:tc>
          <w:tcPr>
            <w:tcW w:type="dxa" w:w="3341"/>
            <w:vAlign w:val="center"/>
          </w:tcPr>
          <w:p>
            <w:r>
              <w:rPr>
                <w:sz w:val="16"/>
              </w:rPr>
              <w:t>DRAFT: 37 atomic cases; human review pending</w:t>
            </w:r>
          </w:p>
        </w:tc>
        <w:tc>
          <w:tcPr>
            <w:tcW w:type="dxa" w:w="3341"/>
            <w:vAlign w:val="center"/>
          </w:tcPr>
          <w:p>
            <w:pPr>
              <w:spacing w:after="20"/>
            </w:pPr>
            <w:r>
              <w:rPr>
                <w:sz w:val="16"/>
              </w:rPr>
              <w:t>Verified exact citations and expected outcomes</w:t>
            </w:r>
          </w:p>
        </w:tc>
      </w:tr>
      <w:tr>
        <w:trPr>
          <w:cantSplit/>
        </w:trPr>
        <w:tc>
          <w:tcPr>
            <w:tcW w:type="dxa" w:w="3341"/>
            <w:vAlign w:val="center"/>
            <w:shd w:fill="F3F6FA"/>
          </w:tcPr>
          <w:p>
            <w:r>
              <w:rPr>
                <w:sz w:val="16"/>
              </w:rPr>
              <w:t>Safety, escalation and evidence policy</w:t>
            </w:r>
          </w:p>
        </w:tc>
        <w:tc>
          <w:tcPr>
            <w:tcW w:type="dxa" w:w="3341"/>
            <w:vAlign w:val="center"/>
            <w:shd w:fill="F3F6FA"/>
          </w:tcPr>
          <w:p>
            <w:r>
              <w:rPr>
                <w:sz w:val="16"/>
              </w:rPr>
              <w:t>SPECIFIED; integration pending</w:t>
            </w:r>
          </w:p>
        </w:tc>
        <w:tc>
          <w:tcPr>
            <w:tcW w:type="dxa" w:w="3341"/>
            <w:vAlign w:val="center"/>
            <w:shd w:fill="F3F6FA"/>
          </w:tcPr>
          <w:p>
            <w:r>
              <w:rPr>
                <w:sz w:val="16"/>
              </w:rPr>
              <w:t>Original-page review and verified support route</w:t>
            </w:r>
          </w:p>
        </w:tc>
      </w:tr>
      <w:tr>
        <w:trPr>
          <w:cantSplit/>
        </w:trPr>
        <w:tc>
          <w:tcPr>
            <w:tcW w:type="dxa" w:w="3341"/>
            <w:vAlign w:val="center"/>
          </w:tcPr>
          <w:p>
            <w:r>
              <w:rPr>
                <w:sz w:val="16"/>
              </w:rPr>
              <w:t>Design choice / alternative log</w:t>
            </w:r>
          </w:p>
        </w:tc>
        <w:tc>
          <w:tcPr>
            <w:tcW w:type="dxa" w:w="3341"/>
            <w:vAlign w:val="center"/>
          </w:tcPr>
          <w:p>
            <w:r>
              <w:rPr>
                <w:sz w:val="16"/>
              </w:rPr>
              <w:t>UPDATED section 3 and change record</w:t>
            </w:r>
          </w:p>
        </w:tc>
        <w:tc>
          <w:tcPr>
            <w:tcW w:type="dxa" w:w="3341"/>
            <w:vAlign w:val="center"/>
          </w:tcPr>
          <w:p>
            <w:r>
              <w:rPr>
                <w:sz w:val="16"/>
              </w:rPr>
              <w:t>Held-out reviewed evidence required for reversal</w:t>
            </w:r>
          </w:p>
        </w:tc>
      </w:tr>
      <w:tr>
        <w:trPr>
          <w:cantSplit/>
        </w:trPr>
        <w:tc>
          <w:tcPr>
            <w:tcW w:type="dxa" w:w="3341"/>
            <w:vAlign w:val="center"/>
            <w:shd w:fill="F3F6FA"/>
          </w:tcPr>
          <w:p>
            <w:pPr>
              <w:spacing w:after="20"/>
            </w:pPr>
            <w:r>
              <w:rPr>
                <w:sz w:val="16"/>
              </w:rPr>
              <w:t>Observability and KPI scorecard</w:t>
            </w:r>
          </w:p>
        </w:tc>
        <w:tc>
          <w:tcPr>
            <w:tcW w:type="dxa" w:w="3341"/>
            <w:vAlign w:val="center"/>
            <w:shd w:fill="F3F6FA"/>
          </w:tcPr>
          <w:p>
            <w:r>
              <w:t>SECTIONS 5 AND 6; runtime pending</w:t>
            </w:r>
          </w:p>
        </w:tc>
        <w:tc>
          <w:tcPr>
            <w:tcW w:type="dxa" w:w="3341"/>
            <w:vAlign w:val="center"/>
            <w:shd w:fill="F3F6FA"/>
          </w:tcPr>
          <w:p>
            <w:pPr>
              <w:spacing w:after="20"/>
            </w:pPr>
            <w:r>
              <w:rPr>
                <w:sz w:val="16"/>
              </w:rPr>
              <w:t>Instrument runtime, collect baseline</w:t>
            </w:r>
          </w:p>
        </w:tc>
      </w:tr>
      <w:tr>
        <w:trPr>
          <w:cantSplit/>
        </w:trPr>
        <w:tc>
          <w:tcPr>
            <w:tcW w:type="dxa" w:w="3341"/>
            <w:vAlign w:val="center"/>
          </w:tcPr>
          <w:p>
            <w:r>
              <w:rPr>
                <w:sz w:val="16"/>
              </w:rPr>
              <w:t>Ingestion QA checklist</w:t>
            </w:r>
          </w:p>
        </w:tc>
        <w:tc>
          <w:tcPr>
            <w:tcW w:type="dxa" w:w="3341"/>
            <w:vAlign w:val="center"/>
          </w:tcPr>
          <w:p>
            <w:r>
              <w:rPr>
                <w:sz w:val="16"/>
              </w:rPr>
              <w:t>HOSTED candidate QA complete; review open</w:t>
            </w:r>
          </w:p>
        </w:tc>
        <w:tc>
          <w:tcPr>
            <w:tcW w:type="dxa" w:w="3341"/>
            <w:vAlign w:val="center"/>
          </w:tcPr>
          <w:p>
            <w:r>
              <w:rPr>
                <w:sz w:val="16"/>
              </w:rPr>
              <w:t>149 represented pages; page 103 fallback flagged; warning/procedure associations pending</w:t>
            </w:r>
          </w:p>
        </w:tc>
      </w:tr>
      <w:tr>
        <w:trPr>
          <w:cantSplit/>
        </w:trPr>
        <w:tc>
          <w:tcPr>
            <w:tcW w:type="dxa" w:w="3341"/>
            <w:vAlign w:val="center"/>
            <w:shd w:fill="F3F6FA"/>
          </w:tcPr>
          <w:p>
            <w:r>
              <w:rPr>
                <w:sz w:val="16"/>
              </w:rPr>
              <w:t>Evaluation run and ablation report</w:t>
            </w:r>
          </w:p>
        </w:tc>
        <w:tc>
          <w:tcPr>
            <w:tcW w:type="dxa" w:w="3341"/>
            <w:vAlign w:val="center"/>
            <w:shd w:fill="F3F6FA"/>
          </w:tcPr>
          <w:p>
            <w:r>
              <w:rPr>
                <w:sz w:val="16"/>
              </w:rPr>
              <w:t>DRAFT in-sample diagnostics complete</w:t>
            </w:r>
          </w:p>
        </w:tc>
        <w:tc>
          <w:tcPr>
            <w:tcW w:type="dxa" w:w="3341"/>
            <w:vAlign w:val="center"/>
            <w:shd w:fill="F3F6FA"/>
          </w:tcPr>
          <w:p>
            <w:r>
              <w:rPr>
                <w:sz w:val="16"/>
              </w:rPr>
              <w:t>Independent &gt;=25-case review, calibration and holdout pending</w:t>
            </w:r>
          </w:p>
        </w:tc>
      </w:tr>
      <w:tr>
        <w:trPr>
          <w:cantSplit/>
        </w:trPr>
        <w:tc>
          <w:tcPr>
            <w:tcW w:type="dxa" w:w="3341"/>
            <w:vAlign w:val="center"/>
          </w:tcPr>
          <w:p>
            <w:pPr>
              <w:spacing w:after="20"/>
            </w:pPr>
            <w:r>
              <w:rPr>
                <w:sz w:val="16"/>
              </w:rPr>
              <w:t>Security/privacy / misuse tests</w:t>
            </w:r>
          </w:p>
        </w:tc>
        <w:tc>
          <w:tcPr>
            <w:tcW w:type="dxa" w:w="3341"/>
            <w:vAlign w:val="center"/>
          </w:tcPr>
          <w:p>
            <w:pPr>
              <w:spacing w:after="20"/>
            </w:pPr>
            <w:r>
              <w:rPr>
                <w:sz w:val="16"/>
              </w:rPr>
              <w:t>TO BUILD</w:t>
            </w:r>
          </w:p>
        </w:tc>
        <w:tc>
          <w:tcPr>
            <w:tcW w:type="dxa" w:w="3341"/>
            <w:vAlign w:val="center"/>
          </w:tcPr>
          <w:p>
            <w:pPr>
              <w:spacing w:after="20"/>
            </w:pPr>
            <w:r>
              <w:rPr>
                <w:sz w:val="16"/>
              </w:rPr>
              <w:t>Prompt injection, media handling, credentials</w:t>
            </w:r>
          </w:p>
        </w:tc>
      </w:tr>
      <w:tr>
        <w:trPr>
          <w:cantSplit/>
        </w:trPr>
        <w:tc>
          <w:tcPr>
            <w:tcW w:type="dxa" w:w="3341"/>
            <w:vAlign w:val="center"/>
            <w:shd w:fill="F3F6FA"/>
          </w:tcPr>
          <w:p>
            <w:r>
              <w:rPr>
                <w:sz w:val="16"/>
              </w:rPr>
              <w:t>Deployment &amp; public demo guide</w:t>
            </w:r>
          </w:p>
        </w:tc>
        <w:tc>
          <w:tcPr>
            <w:tcW w:type="dxa" w:w="3341"/>
            <w:vAlign w:val="center"/>
            <w:shd w:fill="F3F6FA"/>
          </w:tcPr>
          <w:p>
            <w:r>
              <w:rPr>
                <w:sz w:val="16"/>
              </w:rPr>
              <w:t>PRIVATE retrieval backend deployed</w:t>
            </w:r>
          </w:p>
        </w:tc>
        <w:tc>
          <w:tcPr>
            <w:tcW w:type="dxa" w:w="3341"/>
            <w:vAlign w:val="center"/>
            <w:shd w:fill="F3F6FA"/>
          </w:tcPr>
          <w:p>
            <w:r>
              <w:rPr>
                <w:sz w:val="16"/>
              </w:rPr>
              <w:t>11/11 recorded backend checks; UI and logged-out rider tests pending</w:t>
            </w:r>
          </w:p>
        </w:tc>
      </w:tr>
      <w:tr>
        <w:trPr>
          <w:cantSplit/>
        </w:trPr>
        <w:tc>
          <w:tcPr>
            <w:tcW w:type="dxa" w:w="3341"/>
            <w:vAlign w:val="center"/>
          </w:tcPr>
          <w:p>
            <w:r>
              <w:rPr>
                <w:sz w:val="16"/>
              </w:rPr>
              <w:t>README / known limitations / demo script</w:t>
            </w:r>
          </w:p>
        </w:tc>
        <w:tc>
          <w:tcPr>
            <w:tcW w:type="dxa" w:w="3341"/>
            <w:vAlign w:val="center"/>
          </w:tcPr>
          <w:p>
            <w:r>
              <w:rPr>
                <w:sz w:val="16"/>
              </w:rPr>
              <w:t>README exists; handover pending</w:t>
            </w:r>
          </w:p>
        </w:tc>
        <w:tc>
          <w:tcPr>
            <w:tcW w:type="dxa" w:w="3341"/>
            <w:vAlign w:val="center"/>
          </w:tcPr>
          <w:p>
            <w:r>
              <w:rPr>
                <w:sz w:val="16"/>
              </w:rPr>
              <w:t>Complete rider demo script, operations and rollback after release</w:t>
            </w:r>
          </w:p>
        </w:tc>
      </w:tr>
      <w:tr>
        <w:trPr>
          <w:cantSplit/>
        </w:trPr>
        <w:tc>
          <w:tcPr>
            <w:tcW w:type="dxa" w:w="3341"/>
            <w:vAlign w:val="center"/>
            <w:shd w:fill="F3F6FA"/>
          </w:tcPr>
          <w:p>
            <w:pPr>
              <w:spacing w:after="20"/>
            </w:pPr>
            <w:r>
              <w:rPr>
                <w:sz w:val="16"/>
              </w:rPr>
              <w:t>Source, license and configuration manifest</w:t>
            </w:r>
          </w:p>
        </w:tc>
        <w:tc>
          <w:tcPr>
            <w:tcW w:type="dxa" w:w="3341"/>
            <w:vAlign w:val="center"/>
            <w:shd w:fill="F3F6FA"/>
          </w:tcPr>
          <w:p>
            <w:r>
              <w:rPr>
                <w:sz w:val="16"/>
              </w:rPr>
              <w:t>DRAFT: verify variant and rights</w:t>
            </w:r>
          </w:p>
        </w:tc>
        <w:tc>
          <w:tcPr>
            <w:tcW w:type="dxa" w:w="3341"/>
            <w:vAlign w:val="center"/>
            <w:shd w:fill="F3F6FA"/>
          </w:tcPr>
          <w:p>
            <w:pPr>
              <w:spacing w:after="20"/>
            </w:pPr>
            <w:r>
              <w:rPr>
                <w:sz w:val="16"/>
              </w:rPr>
              <w:t>Checksum, edition, citation provenance, rights</w:t>
            </w:r>
          </w:p>
        </w:tc>
      </w:tr>
      <w:tr>
        <w:tc>
          <w:tcPr>
            <w:tcW w:type="dxa" w:w="3341"/>
          </w:tcPr>
          <w:p>
            <w:r>
              <w:rPr>
                <w:sz w:val="16"/>
              </w:rPr>
              <w:t>Guardrail implementation and safety regression suite</w:t>
            </w:r>
          </w:p>
        </w:tc>
        <w:tc>
          <w:tcPr>
            <w:tcW w:type="dxa" w:w="3341"/>
          </w:tcPr>
          <w:p>
            <w:r>
              <w:rPr>
                <w:sz w:val="16"/>
              </w:rPr>
              <w:t>PARTIAL prototypes and retrieval policy</w:t>
            </w:r>
          </w:p>
        </w:tc>
        <w:tc>
          <w:tcPr>
            <w:tcW w:type="dxa" w:w="3341"/>
          </w:tcPr>
          <w:p>
            <w:r>
              <w:rPr>
                <w:sz w:val="16"/>
              </w:rPr>
              <w:t>Integrated controller/evidence/cache/UI guards and reviewed regressions pending</w:t>
            </w:r>
          </w:p>
        </w:tc>
      </w:tr>
    </w:tbl>
    <w:p>
      <w:pPr>
        <w:spacing w:after="0"/>
      </w:pPr>
    </w:p>
    <w:p>
      <w:pPr>
        <w:pStyle w:val="Heading1"/>
      </w:pPr>
      <w:r>
        <w:rPr>
          <w:color w:val="000000"/>
        </w:rPr>
        <w:t>2  Scenario backlog (not golden answers)</w:t>
      </w:r>
    </w:p>
    <w:tbl>
      <w:tblPr>
        <w:tblStyle w:val="LightShading-Accent1"/>
        <w:tblW w:type="auto" w:w="0"/>
        <w:jc w:val="center"/>
        <w:tblLayout w:type="autofit"/>
        <w:tblLook w:firstColumn="1" w:firstRow="1" w:lastColumn="0" w:lastRow="0" w:noHBand="0" w:noVBand="1" w:val="04A0"/>
      </w:tblPr>
      <w:tblGrid>
        <w:gridCol w:w="2505"/>
        <w:gridCol w:w="2505"/>
        <w:gridCol w:w="2505"/>
        <w:gridCol w:w="2505"/>
      </w:tblGrid>
      <w:tr>
        <w:trPr>
          <w:tblHeader/>
        </w:trPr>
        <w:tc>
          <w:tcPr>
            <w:tcW w:type="dxa" w:w="2505"/>
            <w:shd w:fill="102238"/>
          </w:tcPr>
          <w:p>
            <w:pPr>
              <w:keepNext/>
            </w:pPr>
            <w:r>
              <w:rPr>
                <w:b/>
                <w:color w:val="FFFFFF"/>
                <w:sz w:val="16"/>
              </w:rPr>
              <w:t>ID</w:t>
            </w:r>
          </w:p>
        </w:tc>
        <w:tc>
          <w:tcPr>
            <w:tcW w:type="dxa" w:w="2505"/>
            <w:shd w:fill="102238"/>
          </w:tcPr>
          <w:p>
            <w:r>
              <w:rPr>
                <w:b/>
                <w:color w:val="FFFFFF"/>
                <w:sz w:val="16"/>
              </w:rPr>
              <w:t>Scenario</w:t>
            </w:r>
          </w:p>
        </w:tc>
        <w:tc>
          <w:tcPr>
            <w:tcW w:type="dxa" w:w="2505"/>
            <w:shd w:fill="102238"/>
          </w:tcPr>
          <w:p>
            <w:r>
              <w:rPr>
                <w:b/>
                <w:color w:val="FFFFFF"/>
                <w:sz w:val="16"/>
              </w:rPr>
              <w:t>Expected route</w:t>
            </w:r>
          </w:p>
        </w:tc>
        <w:tc>
          <w:tcPr>
            <w:tcW w:type="dxa" w:w="2505"/>
            <w:shd w:fill="102238"/>
          </w:tcPr>
          <w:p>
            <w:r>
              <w:rPr>
                <w:b/>
                <w:color w:val="FFFFFF"/>
                <w:sz w:val="16"/>
              </w:rPr>
              <w:t>Modality</w:t>
            </w:r>
          </w:p>
        </w:tc>
      </w:tr>
      <w:tr>
        <w:trPr>
          <w:cantSplit/>
        </w:trPr>
        <w:tc>
          <w:tcPr>
            <w:tcW w:type="dxa" w:w="2505"/>
            <w:vAlign w:val="center"/>
          </w:tcPr>
          <w:p>
            <w:pPr>
              <w:spacing w:after="20"/>
            </w:pPr>
            <w:r>
              <w:rPr>
                <w:sz w:val="16"/>
              </w:rPr>
              <w:t>SC-01</w:t>
            </w:r>
          </w:p>
        </w:tc>
        <w:tc>
          <w:tcPr>
            <w:tcW w:type="dxa" w:w="2505"/>
            <w:vAlign w:val="center"/>
          </w:tcPr>
          <w:p>
            <w:pPr>
              <w:spacing w:after="20"/>
            </w:pPr>
            <w:r>
              <w:rPr>
                <w:sz w:val="16"/>
              </w:rPr>
              <w:t>Exact documented procedure</w:t>
            </w:r>
          </w:p>
        </w:tc>
        <w:tc>
          <w:tcPr>
            <w:tcW w:type="dxa" w:w="2505"/>
            <w:vAlign w:val="center"/>
          </w:tcPr>
          <w:p>
            <w:r>
              <w:rPr>
                <w:sz w:val="16"/>
              </w:rPr>
              <w:t>SUPPORTED</w:t>
            </w:r>
          </w:p>
        </w:tc>
        <w:tc>
          <w:tcPr>
            <w:tcW w:type="dxa" w:w="2505"/>
            <w:vAlign w:val="center"/>
          </w:tcPr>
          <w:p>
            <w:pPr>
              <w:spacing w:after="20"/>
            </w:pPr>
            <w:r>
              <w:rPr>
                <w:sz w:val="16"/>
              </w:rPr>
              <w:t>Text</w:t>
            </w:r>
          </w:p>
        </w:tc>
      </w:tr>
      <w:tr>
        <w:trPr>
          <w:cantSplit/>
        </w:trPr>
        <w:tc>
          <w:tcPr>
            <w:tcW w:type="dxa" w:w="2505"/>
            <w:vAlign w:val="center"/>
            <w:shd w:fill="F3F6FA"/>
          </w:tcPr>
          <w:p>
            <w:pPr>
              <w:spacing w:after="20"/>
            </w:pPr>
            <w:r>
              <w:rPr>
                <w:sz w:val="16"/>
              </w:rPr>
              <w:t>SC-02</w:t>
            </w:r>
          </w:p>
        </w:tc>
        <w:tc>
          <w:tcPr>
            <w:tcW w:type="dxa" w:w="2505"/>
            <w:vAlign w:val="center"/>
            <w:shd w:fill="F3F6FA"/>
          </w:tcPr>
          <w:p>
            <w:pPr>
              <w:spacing w:after="20"/>
            </w:pPr>
            <w:r>
              <w:rPr>
                <w:sz w:val="16"/>
              </w:rPr>
              <w:t>Ambiguous no-start symptom</w:t>
            </w:r>
          </w:p>
        </w:tc>
        <w:tc>
          <w:tcPr>
            <w:tcW w:type="dxa" w:w="2505"/>
            <w:vAlign w:val="center"/>
            <w:shd w:fill="F3F6FA"/>
          </w:tcPr>
          <w:p>
            <w:r>
              <w:rPr>
                <w:sz w:val="16"/>
              </w:rPr>
              <w:t>AMBIGUOUS</w:t>
            </w:r>
          </w:p>
        </w:tc>
        <w:tc>
          <w:tcPr>
            <w:tcW w:type="dxa" w:w="2505"/>
            <w:vAlign w:val="center"/>
            <w:shd w:fill="F3F6FA"/>
          </w:tcPr>
          <w:p>
            <w:pPr>
              <w:spacing w:after="20"/>
            </w:pPr>
            <w:r>
              <w:rPr>
                <w:sz w:val="16"/>
              </w:rPr>
              <w:t>Text</w:t>
            </w:r>
          </w:p>
        </w:tc>
      </w:tr>
      <w:tr>
        <w:trPr>
          <w:cantSplit/>
        </w:trPr>
        <w:tc>
          <w:tcPr>
            <w:tcW w:type="dxa" w:w="2505"/>
            <w:vAlign w:val="center"/>
          </w:tcPr>
          <w:p>
            <w:pPr>
              <w:spacing w:after="20"/>
            </w:pPr>
            <w:r>
              <w:rPr>
                <w:sz w:val="16"/>
              </w:rPr>
              <w:t>SC-03</w:t>
            </w:r>
          </w:p>
        </w:tc>
        <w:tc>
          <w:tcPr>
            <w:tcW w:type="dxa" w:w="2505"/>
            <w:vAlign w:val="center"/>
          </w:tcPr>
          <w:p>
            <w:pPr>
              <w:spacing w:after="20"/>
            </w:pPr>
            <w:r>
              <w:rPr>
                <w:sz w:val="16"/>
              </w:rPr>
              <w:t>Owner reports a normal inspection</w:t>
            </w:r>
          </w:p>
        </w:tc>
        <w:tc>
          <w:tcPr>
            <w:tcW w:type="dxa" w:w="2505"/>
            <w:vAlign w:val="center"/>
          </w:tcPr>
          <w:p>
            <w:r>
              <w:rPr>
                <w:sz w:val="16"/>
              </w:rPr>
              <w:t>Re-evaluate eligible next step; gate final status</w:t>
            </w:r>
          </w:p>
        </w:tc>
        <w:tc>
          <w:tcPr>
            <w:tcW w:type="dxa" w:w="2505"/>
            <w:vAlign w:val="center"/>
          </w:tcPr>
          <w:p>
            <w:pPr>
              <w:spacing w:after="20"/>
            </w:pPr>
            <w:r>
              <w:rPr>
                <w:sz w:val="16"/>
              </w:rPr>
              <w:t>Multi-turn</w:t>
            </w:r>
          </w:p>
        </w:tc>
      </w:tr>
      <w:tr>
        <w:trPr>
          <w:cantSplit/>
        </w:trPr>
        <w:tc>
          <w:tcPr>
            <w:tcW w:type="dxa" w:w="2505"/>
            <w:vAlign w:val="center"/>
            <w:shd w:fill="F3F6FA"/>
          </w:tcPr>
          <w:p>
            <w:pPr>
              <w:spacing w:after="20"/>
            </w:pPr>
            <w:r>
              <w:rPr>
                <w:sz w:val="16"/>
              </w:rPr>
              <w:t>SC-04</w:t>
            </w:r>
          </w:p>
        </w:tc>
        <w:tc>
          <w:tcPr>
            <w:tcW w:type="dxa" w:w="2505"/>
            <w:vAlign w:val="center"/>
            <w:shd w:fill="F3F6FA"/>
          </w:tcPr>
          <w:p>
            <w:pPr>
              <w:spacing w:after="20"/>
            </w:pPr>
            <w:r>
              <w:rPr>
                <w:sz w:val="16"/>
              </w:rPr>
              <w:t>Tried action without fixing symptom</w:t>
            </w:r>
          </w:p>
        </w:tc>
        <w:tc>
          <w:tcPr>
            <w:tcW w:type="dxa" w:w="2505"/>
            <w:vAlign w:val="center"/>
            <w:shd w:fill="F3F6FA"/>
          </w:tcPr>
          <w:p>
            <w:r>
              <w:rPr>
                <w:sz w:val="16"/>
              </w:rPr>
              <w:t>Re-evaluate eligible next step; unresolved is not normal</w:t>
            </w:r>
          </w:p>
        </w:tc>
        <w:tc>
          <w:tcPr>
            <w:tcW w:type="dxa" w:w="2505"/>
            <w:vAlign w:val="center"/>
            <w:shd w:fill="F3F6FA"/>
          </w:tcPr>
          <w:p>
            <w:pPr>
              <w:spacing w:after="20"/>
            </w:pPr>
            <w:r>
              <w:rPr>
                <w:sz w:val="16"/>
              </w:rPr>
              <w:t>Multi-turn</w:t>
            </w:r>
          </w:p>
        </w:tc>
      </w:tr>
      <w:tr>
        <w:trPr>
          <w:cantSplit/>
        </w:trPr>
        <w:tc>
          <w:tcPr>
            <w:tcW w:type="dxa" w:w="2505"/>
            <w:vAlign w:val="center"/>
          </w:tcPr>
          <w:p>
            <w:pPr>
              <w:spacing w:after="20"/>
            </w:pPr>
            <w:r>
              <w:rPr>
                <w:sz w:val="16"/>
              </w:rPr>
              <w:t>SC-05</w:t>
            </w:r>
          </w:p>
        </w:tc>
        <w:tc>
          <w:tcPr>
            <w:tcW w:type="dxa" w:w="2505"/>
            <w:vAlign w:val="center"/>
          </w:tcPr>
          <w:p>
            <w:pPr>
              <w:spacing w:after="20"/>
            </w:pPr>
            <w:r>
              <w:rPr>
                <w:sz w:val="16"/>
              </w:rPr>
              <w:t>Inapplicable component/variant</w:t>
            </w:r>
          </w:p>
        </w:tc>
        <w:tc>
          <w:tcPr>
            <w:tcW w:type="dxa" w:w="2505"/>
            <w:vAlign w:val="center"/>
          </w:tcPr>
          <w:p>
            <w:r>
              <w:rPr>
                <w:sz w:val="16"/>
              </w:rPr>
              <w:t>AMBIGUOUS or UNSUPPORTED; block action</w:t>
            </w:r>
          </w:p>
        </w:tc>
        <w:tc>
          <w:tcPr>
            <w:tcW w:type="dxa" w:w="2505"/>
            <w:vAlign w:val="center"/>
          </w:tcPr>
          <w:p>
            <w:pPr>
              <w:spacing w:after="20"/>
            </w:pPr>
            <w:r>
              <w:rPr>
                <w:sz w:val="16"/>
              </w:rPr>
              <w:t>Multi-turn</w:t>
            </w:r>
          </w:p>
        </w:tc>
      </w:tr>
      <w:tr>
        <w:trPr>
          <w:cantSplit/>
        </w:trPr>
        <w:tc>
          <w:tcPr>
            <w:tcW w:type="dxa" w:w="2505"/>
            <w:vAlign w:val="center"/>
            <w:shd w:fill="F3F6FA"/>
          </w:tcPr>
          <w:p>
            <w:pPr>
              <w:spacing w:after="20"/>
            </w:pPr>
            <w:r>
              <w:rPr>
                <w:sz w:val="16"/>
              </w:rPr>
              <w:t>SC-06</w:t>
            </w:r>
          </w:p>
        </w:tc>
        <w:tc>
          <w:tcPr>
            <w:tcW w:type="dxa" w:w="2505"/>
            <w:vAlign w:val="center"/>
            <w:shd w:fill="F3F6FA"/>
          </w:tcPr>
          <w:p>
            <w:pPr>
              <w:spacing w:after="20"/>
            </w:pPr>
            <w:r>
              <w:rPr>
                <w:sz w:val="16"/>
              </w:rPr>
              <w:t>Documented abnormal result</w:t>
            </w:r>
          </w:p>
        </w:tc>
        <w:tc>
          <w:tcPr>
            <w:tcW w:type="dxa" w:w="2505"/>
            <w:vAlign w:val="center"/>
            <w:shd w:fill="F3F6FA"/>
          </w:tcPr>
          <w:p>
            <w:r>
              <w:rPr>
                <w:sz w:val="16"/>
              </w:rPr>
              <w:t>SUPPORTED or UNSUPPORTED</w:t>
            </w:r>
          </w:p>
        </w:tc>
        <w:tc>
          <w:tcPr>
            <w:tcW w:type="dxa" w:w="2505"/>
            <w:vAlign w:val="center"/>
            <w:shd w:fill="F3F6FA"/>
          </w:tcPr>
          <w:p>
            <w:pPr>
              <w:spacing w:after="20"/>
            </w:pPr>
            <w:r>
              <w:rPr>
                <w:sz w:val="16"/>
              </w:rPr>
              <w:t>Multi-turn</w:t>
            </w:r>
          </w:p>
        </w:tc>
      </w:tr>
      <w:tr>
        <w:trPr>
          <w:cantSplit/>
        </w:trPr>
        <w:tc>
          <w:tcPr>
            <w:tcW w:type="dxa" w:w="2505"/>
            <w:vAlign w:val="center"/>
          </w:tcPr>
          <w:p>
            <w:pPr>
              <w:spacing w:after="20"/>
            </w:pPr>
            <w:r>
              <w:rPr>
                <w:sz w:val="16"/>
              </w:rPr>
              <w:t>SC-07</w:t>
            </w:r>
          </w:p>
        </w:tc>
        <w:tc>
          <w:tcPr>
            <w:tcW w:type="dxa" w:w="2505"/>
            <w:vAlign w:val="center"/>
          </w:tcPr>
          <w:p>
            <w:pPr>
              <w:spacing w:after="20"/>
            </w:pPr>
            <w:r>
              <w:rPr>
                <w:sz w:val="16"/>
              </w:rPr>
              <w:t>Customer cannot observe test result</w:t>
            </w:r>
          </w:p>
        </w:tc>
        <w:tc>
          <w:tcPr>
            <w:tcW w:type="dxa" w:w="2505"/>
            <w:vAlign w:val="center"/>
          </w:tcPr>
          <w:p>
            <w:r>
              <w:rPr>
                <w:sz w:val="16"/>
              </w:rPr>
              <w:t>AMBIGUOUS</w:t>
            </w:r>
          </w:p>
        </w:tc>
        <w:tc>
          <w:tcPr>
            <w:tcW w:type="dxa" w:w="2505"/>
            <w:vAlign w:val="center"/>
          </w:tcPr>
          <w:p>
            <w:pPr>
              <w:spacing w:after="20"/>
            </w:pPr>
            <w:r>
              <w:rPr>
                <w:sz w:val="16"/>
              </w:rPr>
              <w:t>Multi-turn</w:t>
            </w:r>
          </w:p>
        </w:tc>
      </w:tr>
      <w:tr>
        <w:trPr>
          <w:cantSplit/>
        </w:trPr>
        <w:tc>
          <w:tcPr>
            <w:tcW w:type="dxa" w:w="2505"/>
            <w:vAlign w:val="center"/>
            <w:shd w:fill="F3F6FA"/>
          </w:tcPr>
          <w:p>
            <w:pPr>
              <w:spacing w:after="20"/>
            </w:pPr>
            <w:r>
              <w:rPr>
                <w:sz w:val="16"/>
              </w:rPr>
              <w:t>SC-08</w:t>
            </w:r>
          </w:p>
        </w:tc>
        <w:tc>
          <w:tcPr>
            <w:tcW w:type="dxa" w:w="2505"/>
            <w:vAlign w:val="center"/>
            <w:shd w:fill="F3F6FA"/>
          </w:tcPr>
          <w:p>
            <w:pPr>
              <w:spacing w:after="20"/>
            </w:pPr>
            <w:r>
              <w:rPr>
                <w:sz w:val="16"/>
              </w:rPr>
              <w:t>All documented steps exhausted</w:t>
            </w:r>
          </w:p>
        </w:tc>
        <w:tc>
          <w:tcPr>
            <w:tcW w:type="dxa" w:w="2505"/>
            <w:vAlign w:val="center"/>
            <w:shd w:fill="F3F6FA"/>
          </w:tcPr>
          <w:p>
            <w:r>
              <w:rPr>
                <w:sz w:val="16"/>
              </w:rPr>
              <w:t>UNSUPPORTED and verified OEM support</w:t>
            </w:r>
          </w:p>
        </w:tc>
        <w:tc>
          <w:tcPr>
            <w:tcW w:type="dxa" w:w="2505"/>
            <w:vAlign w:val="center"/>
            <w:shd w:fill="F3F6FA"/>
          </w:tcPr>
          <w:p>
            <w:pPr>
              <w:spacing w:after="20"/>
            </w:pPr>
            <w:r>
              <w:rPr>
                <w:sz w:val="16"/>
              </w:rPr>
              <w:t>Multi-turn</w:t>
            </w:r>
          </w:p>
        </w:tc>
      </w:tr>
      <w:tr>
        <w:trPr>
          <w:cantSplit/>
        </w:trPr>
        <w:tc>
          <w:tcPr>
            <w:tcW w:type="dxa" w:w="2505"/>
            <w:vAlign w:val="center"/>
          </w:tcPr>
          <w:p>
            <w:pPr>
              <w:spacing w:after="20"/>
            </w:pPr>
            <w:r>
              <w:rPr>
                <w:sz w:val="16"/>
              </w:rPr>
              <w:t>SC-09</w:t>
            </w:r>
          </w:p>
        </w:tc>
        <w:tc>
          <w:tcPr>
            <w:tcW w:type="dxa" w:w="2505"/>
            <w:vAlign w:val="center"/>
          </w:tcPr>
          <w:p>
            <w:pPr>
              <w:spacing w:after="20"/>
            </w:pPr>
            <w:r>
              <w:rPr>
                <w:sz w:val="16"/>
              </w:rPr>
              <w:t>User corrects earlier observation</w:t>
            </w:r>
          </w:p>
        </w:tc>
        <w:tc>
          <w:tcPr>
            <w:tcW w:type="dxa" w:w="2505"/>
            <w:vAlign w:val="center"/>
          </w:tcPr>
          <w:p>
            <w:r>
              <w:rPr>
                <w:sz w:val="16"/>
              </w:rPr>
              <w:t>Supersede fact; re-evaluate; gate final status</w:t>
            </w:r>
          </w:p>
        </w:tc>
        <w:tc>
          <w:tcPr>
            <w:tcW w:type="dxa" w:w="2505"/>
            <w:vAlign w:val="center"/>
          </w:tcPr>
          <w:p>
            <w:pPr>
              <w:spacing w:after="20"/>
            </w:pPr>
            <w:r>
              <w:rPr>
                <w:sz w:val="16"/>
              </w:rPr>
              <w:t>Multi-turn</w:t>
            </w:r>
          </w:p>
        </w:tc>
      </w:tr>
      <w:tr>
        <w:trPr>
          <w:cantSplit/>
        </w:trPr>
        <w:tc>
          <w:tcPr>
            <w:tcW w:type="dxa" w:w="2505"/>
            <w:vAlign w:val="center"/>
            <w:shd w:fill="F3F6FA"/>
          </w:tcPr>
          <w:p>
            <w:pPr>
              <w:spacing w:after="20"/>
            </w:pPr>
            <w:r>
              <w:rPr>
                <w:sz w:val="16"/>
              </w:rPr>
              <w:t>SC-10</w:t>
            </w:r>
          </w:p>
        </w:tc>
        <w:tc>
          <w:tcPr>
            <w:tcW w:type="dxa" w:w="2505"/>
            <w:vAlign w:val="center"/>
            <w:shd w:fill="F3F6FA"/>
          </w:tcPr>
          <w:p>
            <w:pPr>
              <w:spacing w:after="20"/>
            </w:pPr>
            <w:r>
              <w:rPr>
                <w:sz w:val="16"/>
              </w:rPr>
              <w:t>New symptom after earlier elimination</w:t>
            </w:r>
          </w:p>
        </w:tc>
        <w:tc>
          <w:tcPr>
            <w:tcW w:type="dxa" w:w="2505"/>
            <w:vAlign w:val="center"/>
            <w:shd w:fill="F3F6FA"/>
          </w:tcPr>
          <w:p>
            <w:r>
              <w:rPr>
                <w:sz w:val="16"/>
              </w:rPr>
              <w:t>Re-evaluate applicability; gate final status</w:t>
            </w:r>
          </w:p>
        </w:tc>
        <w:tc>
          <w:tcPr>
            <w:tcW w:type="dxa" w:w="2505"/>
            <w:vAlign w:val="center"/>
            <w:shd w:fill="F3F6FA"/>
          </w:tcPr>
          <w:p>
            <w:pPr>
              <w:spacing w:after="20"/>
            </w:pPr>
            <w:r>
              <w:rPr>
                <w:sz w:val="16"/>
              </w:rPr>
              <w:t>Multi-turn</w:t>
            </w:r>
          </w:p>
        </w:tc>
      </w:tr>
      <w:tr>
        <w:trPr>
          <w:cantSplit/>
        </w:trPr>
        <w:tc>
          <w:tcPr>
            <w:tcW w:type="dxa" w:w="2505"/>
            <w:vAlign w:val="center"/>
          </w:tcPr>
          <w:p>
            <w:pPr>
              <w:spacing w:after="20"/>
            </w:pPr>
            <w:r>
              <w:rPr>
                <w:sz w:val="16"/>
              </w:rPr>
              <w:t>SC-11</w:t>
            </w:r>
          </w:p>
        </w:tc>
        <w:tc>
          <w:tcPr>
            <w:tcW w:type="dxa" w:w="2505"/>
            <w:vAlign w:val="center"/>
          </w:tcPr>
          <w:p>
            <w:pPr>
              <w:spacing w:after="20"/>
            </w:pPr>
            <w:r>
              <w:rPr>
                <w:sz w:val="16"/>
              </w:rPr>
              <w:t>Prior step repeated erroneously</w:t>
            </w:r>
          </w:p>
        </w:tc>
        <w:tc>
          <w:tcPr>
            <w:tcW w:type="dxa" w:w="2505"/>
            <w:vAlign w:val="center"/>
          </w:tcPr>
          <w:p>
            <w:r>
              <w:rPr>
                <w:sz w:val="16"/>
              </w:rPr>
              <w:t>Reject unjustified repeat; gate final status</w:t>
            </w:r>
          </w:p>
        </w:tc>
        <w:tc>
          <w:tcPr>
            <w:tcW w:type="dxa" w:w="2505"/>
            <w:vAlign w:val="center"/>
          </w:tcPr>
          <w:p>
            <w:pPr>
              <w:spacing w:after="20"/>
            </w:pPr>
            <w:r>
              <w:rPr>
                <w:sz w:val="16"/>
              </w:rPr>
              <w:t>Multi-turn</w:t>
            </w:r>
          </w:p>
        </w:tc>
      </w:tr>
      <w:tr>
        <w:trPr>
          <w:cantSplit/>
        </w:trPr>
        <w:tc>
          <w:tcPr>
            <w:tcW w:type="dxa" w:w="2505"/>
            <w:vAlign w:val="center"/>
            <w:shd w:fill="F3F6FA"/>
          </w:tcPr>
          <w:p>
            <w:pPr>
              <w:spacing w:after="20"/>
            </w:pPr>
            <w:r>
              <w:rPr>
                <w:sz w:val="16"/>
              </w:rPr>
              <w:t>SC-12</w:t>
            </w:r>
          </w:p>
        </w:tc>
        <w:tc>
          <w:tcPr>
            <w:tcW w:type="dxa" w:w="2505"/>
            <w:vAlign w:val="center"/>
            <w:shd w:fill="F3F6FA"/>
          </w:tcPr>
          <w:p>
            <w:pPr>
              <w:spacing w:after="20"/>
            </w:pPr>
            <w:r>
              <w:rPr>
                <w:sz w:val="16"/>
              </w:rPr>
              <w:t>Root cause unsupported by photo</w:t>
            </w:r>
          </w:p>
        </w:tc>
        <w:tc>
          <w:tcPr>
            <w:tcW w:type="dxa" w:w="2505"/>
            <w:vAlign w:val="center"/>
            <w:shd w:fill="F3F6FA"/>
          </w:tcPr>
          <w:p>
            <w:r>
              <w:rPr>
                <w:sz w:val="16"/>
              </w:rPr>
              <w:t>AMBIGUOUS or UNSUPPORTED</w:t>
            </w:r>
          </w:p>
        </w:tc>
        <w:tc>
          <w:tcPr>
            <w:tcW w:type="dxa" w:w="2505"/>
            <w:vAlign w:val="center"/>
            <w:shd w:fill="F3F6FA"/>
          </w:tcPr>
          <w:p>
            <w:pPr>
              <w:spacing w:after="20"/>
            </w:pPr>
            <w:r>
              <w:rPr>
                <w:sz w:val="16"/>
              </w:rPr>
              <w:t>Image</w:t>
            </w:r>
          </w:p>
        </w:tc>
      </w:tr>
      <w:tr>
        <w:trPr>
          <w:cantSplit/>
        </w:trPr>
        <w:tc>
          <w:tcPr>
            <w:tcW w:type="dxa" w:w="2505"/>
            <w:vAlign w:val="center"/>
          </w:tcPr>
          <w:p>
            <w:pPr>
              <w:spacing w:after="20"/>
            </w:pPr>
            <w:r>
              <w:rPr>
                <w:sz w:val="16"/>
              </w:rPr>
              <w:t>SC-13</w:t>
            </w:r>
          </w:p>
        </w:tc>
        <w:tc>
          <w:tcPr>
            <w:tcW w:type="dxa" w:w="2505"/>
            <w:vAlign w:val="center"/>
          </w:tcPr>
          <w:p>
            <w:pPr>
              <w:spacing w:after="20"/>
            </w:pPr>
            <w:r>
              <w:rPr>
                <w:sz w:val="16"/>
              </w:rPr>
              <w:t>Clear dashboard indicator</w:t>
            </w:r>
          </w:p>
        </w:tc>
        <w:tc>
          <w:tcPr>
            <w:tcW w:type="dxa" w:w="2505"/>
            <w:vAlign w:val="center"/>
          </w:tcPr>
          <w:p>
            <w:r>
              <w:rPr>
                <w:sz w:val="16"/>
              </w:rPr>
              <w:t>SUPPORTED or AMBIGUOUS</w:t>
            </w:r>
          </w:p>
        </w:tc>
        <w:tc>
          <w:tcPr>
            <w:tcW w:type="dxa" w:w="2505"/>
            <w:vAlign w:val="center"/>
          </w:tcPr>
          <w:p>
            <w:pPr>
              <w:spacing w:after="20"/>
            </w:pPr>
            <w:r>
              <w:rPr>
                <w:sz w:val="16"/>
              </w:rPr>
              <w:t>Image</w:t>
            </w:r>
          </w:p>
        </w:tc>
      </w:tr>
      <w:tr>
        <w:trPr>
          <w:cantSplit/>
        </w:trPr>
        <w:tc>
          <w:tcPr>
            <w:tcW w:type="dxa" w:w="2505"/>
            <w:vAlign w:val="center"/>
            <w:shd w:fill="F3F6FA"/>
          </w:tcPr>
          <w:p>
            <w:pPr>
              <w:spacing w:after="20"/>
            </w:pPr>
            <w:r>
              <w:rPr>
                <w:sz w:val="16"/>
              </w:rPr>
              <w:t>SC-14</w:t>
            </w:r>
          </w:p>
        </w:tc>
        <w:tc>
          <w:tcPr>
            <w:tcW w:type="dxa" w:w="2505"/>
            <w:vAlign w:val="center"/>
            <w:shd w:fill="F3F6FA"/>
          </w:tcPr>
          <w:p>
            <w:pPr>
              <w:spacing w:after="20"/>
            </w:pPr>
            <w:r>
              <w:rPr>
                <w:sz w:val="16"/>
              </w:rPr>
              <w:t>Blurry warning-light image</w:t>
            </w:r>
          </w:p>
        </w:tc>
        <w:tc>
          <w:tcPr>
            <w:tcW w:type="dxa" w:w="2505"/>
            <w:vAlign w:val="center"/>
            <w:shd w:fill="F3F6FA"/>
          </w:tcPr>
          <w:p>
            <w:r>
              <w:rPr>
                <w:sz w:val="16"/>
              </w:rPr>
              <w:t>AMBIGUOUS</w:t>
            </w:r>
          </w:p>
        </w:tc>
        <w:tc>
          <w:tcPr>
            <w:tcW w:type="dxa" w:w="2505"/>
            <w:vAlign w:val="center"/>
            <w:shd w:fill="F3F6FA"/>
          </w:tcPr>
          <w:p>
            <w:pPr>
              <w:spacing w:after="20"/>
            </w:pPr>
            <w:r>
              <w:rPr>
                <w:sz w:val="16"/>
              </w:rPr>
              <w:t>Image</w:t>
            </w:r>
          </w:p>
        </w:tc>
      </w:tr>
      <w:tr>
        <w:trPr>
          <w:cantSplit/>
        </w:trPr>
        <w:tc>
          <w:tcPr>
            <w:tcW w:type="dxa" w:w="2505"/>
            <w:vAlign w:val="center"/>
          </w:tcPr>
          <w:p>
            <w:pPr>
              <w:spacing w:after="20"/>
            </w:pPr>
            <w:r>
              <w:rPr>
                <w:sz w:val="16"/>
              </w:rPr>
              <w:t>SC-15</w:t>
            </w:r>
          </w:p>
        </w:tc>
        <w:tc>
          <w:tcPr>
            <w:tcW w:type="dxa" w:w="2505"/>
            <w:vAlign w:val="center"/>
          </w:tcPr>
          <w:p>
            <w:pPr>
              <w:spacing w:after="20"/>
            </w:pPr>
            <w:r>
              <w:rPr>
                <w:sz w:val="16"/>
              </w:rPr>
              <w:t>Photo suggests wrong motorcycle variant</w:t>
            </w:r>
          </w:p>
        </w:tc>
        <w:tc>
          <w:tcPr>
            <w:tcW w:type="dxa" w:w="2505"/>
            <w:vAlign w:val="center"/>
          </w:tcPr>
          <w:p>
            <w:r>
              <w:rPr>
                <w:sz w:val="16"/>
              </w:rPr>
              <w:t>AMBIGUOUS or UNSUPPORTED; block action</w:t>
            </w:r>
          </w:p>
        </w:tc>
        <w:tc>
          <w:tcPr>
            <w:tcW w:type="dxa" w:w="2505"/>
            <w:vAlign w:val="center"/>
          </w:tcPr>
          <w:p>
            <w:pPr>
              <w:spacing w:after="20"/>
            </w:pPr>
            <w:r>
              <w:rPr>
                <w:sz w:val="16"/>
              </w:rPr>
              <w:t>Image</w:t>
            </w:r>
          </w:p>
        </w:tc>
      </w:tr>
      <w:tr>
        <w:trPr>
          <w:cantSplit/>
        </w:trPr>
        <w:tc>
          <w:tcPr>
            <w:tcW w:type="dxa" w:w="2505"/>
            <w:vAlign w:val="center"/>
            <w:shd w:fill="F3F6FA"/>
          </w:tcPr>
          <w:p>
            <w:pPr>
              <w:spacing w:after="20"/>
            </w:pPr>
            <w:r>
              <w:rPr>
                <w:sz w:val="16"/>
              </w:rPr>
              <w:t>SC-16</w:t>
            </w:r>
          </w:p>
        </w:tc>
        <w:tc>
          <w:tcPr>
            <w:tcW w:type="dxa" w:w="2505"/>
            <w:vAlign w:val="center"/>
            <w:shd w:fill="F3F6FA"/>
          </w:tcPr>
          <w:p>
            <w:pPr>
              <w:spacing w:after="20"/>
            </w:pPr>
            <w:r>
              <w:rPr>
                <w:sz w:val="16"/>
              </w:rPr>
              <w:t>Procedure needs table specifications</w:t>
            </w:r>
          </w:p>
        </w:tc>
        <w:tc>
          <w:tcPr>
            <w:tcW w:type="dxa" w:w="2505"/>
            <w:vAlign w:val="center"/>
            <w:shd w:fill="F3F6FA"/>
          </w:tcPr>
          <w:p>
            <w:r>
              <w:rPr>
                <w:sz w:val="16"/>
              </w:rPr>
              <w:t>SUPPORTED only with complete approved dependencies</w:t>
            </w:r>
          </w:p>
        </w:tc>
        <w:tc>
          <w:tcPr>
            <w:tcW w:type="dxa" w:w="2505"/>
            <w:vAlign w:val="center"/>
            <w:shd w:fill="F3F6FA"/>
          </w:tcPr>
          <w:p>
            <w:pPr>
              <w:spacing w:after="20"/>
            </w:pPr>
            <w:r>
              <w:rPr>
                <w:sz w:val="16"/>
              </w:rPr>
              <w:t>Table</w:t>
            </w:r>
          </w:p>
        </w:tc>
      </w:tr>
      <w:tr>
        <w:trPr>
          <w:cantSplit/>
        </w:trPr>
        <w:tc>
          <w:tcPr>
            <w:tcW w:type="dxa" w:w="2505"/>
            <w:vAlign w:val="center"/>
          </w:tcPr>
          <w:p>
            <w:pPr>
              <w:spacing w:after="20"/>
            </w:pPr>
            <w:r>
              <w:rPr>
                <w:sz w:val="16"/>
              </w:rPr>
              <w:t>SC-17</w:t>
            </w:r>
          </w:p>
        </w:tc>
        <w:tc>
          <w:tcPr>
            <w:tcW w:type="dxa" w:w="2505"/>
            <w:vAlign w:val="center"/>
          </w:tcPr>
          <w:p>
            <w:pPr>
              <w:spacing w:after="20"/>
            </w:pPr>
            <w:r>
              <w:rPr>
                <w:sz w:val="16"/>
              </w:rPr>
              <w:t>Cross-reference to separate warning</w:t>
            </w:r>
          </w:p>
        </w:tc>
        <w:tc>
          <w:tcPr>
            <w:tcW w:type="dxa" w:w="2505"/>
            <w:vAlign w:val="center"/>
          </w:tcPr>
          <w:p>
            <w:r>
              <w:rPr>
                <w:sz w:val="16"/>
              </w:rPr>
              <w:t>SUPPORTED with required warning</w:t>
            </w:r>
          </w:p>
        </w:tc>
        <w:tc>
          <w:tcPr>
            <w:tcW w:type="dxa" w:w="2505"/>
            <w:vAlign w:val="center"/>
          </w:tcPr>
          <w:p>
            <w:pPr>
              <w:spacing w:after="20"/>
            </w:pPr>
            <w:r>
              <w:rPr>
                <w:sz w:val="16"/>
              </w:rPr>
              <w:t>Multi-section</w:t>
            </w:r>
          </w:p>
        </w:tc>
      </w:tr>
      <w:tr>
        <w:trPr>
          <w:cantSplit/>
        </w:trPr>
        <w:tc>
          <w:tcPr>
            <w:tcW w:type="dxa" w:w="2505"/>
            <w:vAlign w:val="center"/>
            <w:shd w:fill="F3F6FA"/>
          </w:tcPr>
          <w:p>
            <w:pPr>
              <w:spacing w:after="20"/>
            </w:pPr>
            <w:r>
              <w:rPr>
                <w:sz w:val="16"/>
              </w:rPr>
              <w:t>SC-18</w:t>
            </w:r>
          </w:p>
        </w:tc>
        <w:tc>
          <w:tcPr>
            <w:tcW w:type="dxa" w:w="2505"/>
            <w:vAlign w:val="center"/>
            <w:shd w:fill="F3F6FA"/>
          </w:tcPr>
          <w:p>
            <w:pPr>
              <w:spacing w:after="20"/>
            </w:pPr>
            <w:r>
              <w:rPr>
                <w:sz w:val="16"/>
              </w:rPr>
              <w:t>Separate prerequisite and action</w:t>
            </w:r>
          </w:p>
        </w:tc>
        <w:tc>
          <w:tcPr>
            <w:tcW w:type="dxa" w:w="2505"/>
            <w:vAlign w:val="center"/>
            <w:shd w:fill="F3F6FA"/>
          </w:tcPr>
          <w:p>
            <w:r>
              <w:rPr>
                <w:sz w:val="16"/>
              </w:rPr>
              <w:t>SUPPORTED with prerequisite and action</w:t>
            </w:r>
          </w:p>
        </w:tc>
        <w:tc>
          <w:tcPr>
            <w:tcW w:type="dxa" w:w="2505"/>
            <w:vAlign w:val="center"/>
            <w:shd w:fill="F3F6FA"/>
          </w:tcPr>
          <w:p>
            <w:pPr>
              <w:spacing w:after="20"/>
            </w:pPr>
            <w:r>
              <w:rPr>
                <w:sz w:val="16"/>
              </w:rPr>
              <w:t>Multi-section</w:t>
            </w:r>
          </w:p>
        </w:tc>
      </w:tr>
      <w:tr>
        <w:trPr>
          <w:cantSplit/>
        </w:trPr>
        <w:tc>
          <w:tcPr>
            <w:tcW w:type="dxa" w:w="2505"/>
            <w:vAlign w:val="center"/>
          </w:tcPr>
          <w:p>
            <w:pPr>
              <w:spacing w:after="20"/>
            </w:pPr>
            <w:r>
              <w:rPr>
                <w:sz w:val="16"/>
              </w:rPr>
              <w:t>SC-19</w:t>
            </w:r>
          </w:p>
        </w:tc>
        <w:tc>
          <w:tcPr>
            <w:tcW w:type="dxa" w:w="2505"/>
            <w:vAlign w:val="center"/>
          </w:tcPr>
          <w:p>
            <w:pPr>
              <w:spacing w:after="20"/>
            </w:pPr>
            <w:r>
              <w:rPr>
                <w:sz w:val="16"/>
              </w:rPr>
              <w:t>Unclear unit or split table header</w:t>
            </w:r>
          </w:p>
        </w:tc>
        <w:tc>
          <w:tcPr>
            <w:tcW w:type="dxa" w:w="2505"/>
            <w:vAlign w:val="center"/>
          </w:tcPr>
          <w:p>
            <w:r>
              <w:rPr>
                <w:sz w:val="16"/>
              </w:rPr>
              <w:t>UNSUPPORTED and source review</w:t>
            </w:r>
          </w:p>
        </w:tc>
        <w:tc>
          <w:tcPr>
            <w:tcW w:type="dxa" w:w="2505"/>
            <w:vAlign w:val="center"/>
          </w:tcPr>
          <w:p>
            <w:pPr>
              <w:spacing w:after="20"/>
            </w:pPr>
            <w:r>
              <w:rPr>
                <w:sz w:val="16"/>
              </w:rPr>
              <w:t>Table</w:t>
            </w:r>
          </w:p>
        </w:tc>
      </w:tr>
      <w:tr>
        <w:trPr>
          <w:cantSplit/>
        </w:trPr>
        <w:tc>
          <w:tcPr>
            <w:tcW w:type="dxa" w:w="2505"/>
            <w:vAlign w:val="center"/>
            <w:shd w:fill="F3F6FA"/>
          </w:tcPr>
          <w:p>
            <w:pPr>
              <w:spacing w:after="20"/>
            </w:pPr>
            <w:r>
              <w:rPr>
                <w:sz w:val="16"/>
              </w:rPr>
              <w:t>SC-20</w:t>
            </w:r>
          </w:p>
        </w:tc>
        <w:tc>
          <w:tcPr>
            <w:tcW w:type="dxa" w:w="2505"/>
            <w:vAlign w:val="center"/>
            <w:shd w:fill="F3F6FA"/>
          </w:tcPr>
          <w:p>
            <w:pPr>
              <w:spacing w:after="20"/>
            </w:pPr>
            <w:r>
              <w:rPr>
                <w:sz w:val="16"/>
              </w:rPr>
              <w:t>Essential unlabeled diagram</w:t>
            </w:r>
          </w:p>
        </w:tc>
        <w:tc>
          <w:tcPr>
            <w:tcW w:type="dxa" w:w="2505"/>
            <w:vAlign w:val="center"/>
            <w:shd w:fill="F3F6FA"/>
          </w:tcPr>
          <w:p>
            <w:r>
              <w:rPr>
                <w:sz w:val="16"/>
              </w:rPr>
              <w:t>UNSUPPORTED and source review</w:t>
            </w:r>
          </w:p>
        </w:tc>
        <w:tc>
          <w:tcPr>
            <w:tcW w:type="dxa" w:w="2505"/>
            <w:vAlign w:val="center"/>
            <w:shd w:fill="F3F6FA"/>
          </w:tcPr>
          <w:p>
            <w:pPr>
              <w:spacing w:after="20"/>
            </w:pPr>
            <w:r>
              <w:rPr>
                <w:sz w:val="16"/>
              </w:rPr>
              <w:t>Diagram</w:t>
            </w:r>
          </w:p>
        </w:tc>
      </w:tr>
      <w:tr>
        <w:trPr>
          <w:cantSplit/>
        </w:trPr>
        <w:tc>
          <w:tcPr>
            <w:tcW w:type="dxa" w:w="2505"/>
            <w:vAlign w:val="center"/>
          </w:tcPr>
          <w:p>
            <w:pPr>
              <w:spacing w:after="20"/>
            </w:pPr>
            <w:r>
              <w:rPr>
                <w:sz w:val="16"/>
              </w:rPr>
              <w:t>SC-21</w:t>
            </w:r>
          </w:p>
        </w:tc>
        <w:tc>
          <w:tcPr>
            <w:tcW w:type="dxa" w:w="2505"/>
            <w:vAlign w:val="center"/>
          </w:tcPr>
          <w:p>
            <w:pPr>
              <w:spacing w:after="20"/>
            </w:pPr>
            <w:r>
              <w:rPr>
                <w:sz w:val="16"/>
              </w:rPr>
              <w:t>Undocumented repair modification</w:t>
            </w:r>
          </w:p>
        </w:tc>
        <w:tc>
          <w:tcPr>
            <w:tcW w:type="dxa" w:w="2505"/>
            <w:vAlign w:val="center"/>
          </w:tcPr>
          <w:p>
            <w:r>
              <w:rPr>
                <w:sz w:val="16"/>
              </w:rPr>
              <w:t>UNSUPPORTED and verified OEM support</w:t>
            </w:r>
          </w:p>
        </w:tc>
        <w:tc>
          <w:tcPr>
            <w:tcW w:type="dxa" w:w="2505"/>
            <w:vAlign w:val="center"/>
          </w:tcPr>
          <w:p>
            <w:pPr>
              <w:spacing w:after="20"/>
            </w:pPr>
            <w:r>
              <w:rPr>
                <w:sz w:val="16"/>
              </w:rPr>
              <w:t>Text</w:t>
            </w:r>
          </w:p>
        </w:tc>
      </w:tr>
      <w:tr>
        <w:trPr>
          <w:cantSplit/>
        </w:trPr>
        <w:tc>
          <w:tcPr>
            <w:tcW w:type="dxa" w:w="2505"/>
            <w:vAlign w:val="center"/>
            <w:shd w:fill="F3F6FA"/>
          </w:tcPr>
          <w:p>
            <w:pPr>
              <w:spacing w:after="20"/>
            </w:pPr>
            <w:r>
              <w:rPr>
                <w:sz w:val="16"/>
              </w:rPr>
              <w:t>SC-22</w:t>
            </w:r>
          </w:p>
        </w:tc>
        <w:tc>
          <w:tcPr>
            <w:tcW w:type="dxa" w:w="2505"/>
            <w:vAlign w:val="center"/>
            <w:shd w:fill="F3F6FA"/>
          </w:tcPr>
          <w:p>
            <w:pPr>
              <w:spacing w:after="20"/>
            </w:pPr>
            <w:r>
              <w:rPr>
                <w:sz w:val="16"/>
              </w:rPr>
              <w:t>Question outside selected manual</w:t>
            </w:r>
          </w:p>
        </w:tc>
        <w:tc>
          <w:tcPr>
            <w:tcW w:type="dxa" w:w="2505"/>
            <w:vAlign w:val="center"/>
            <w:shd w:fill="F3F6FA"/>
          </w:tcPr>
          <w:p>
            <w:r>
              <w:rPr>
                <w:sz w:val="16"/>
              </w:rPr>
              <w:t>UNSUPPORTED and verified OEM support</w:t>
            </w:r>
          </w:p>
        </w:tc>
        <w:tc>
          <w:tcPr>
            <w:tcW w:type="dxa" w:w="2505"/>
            <w:vAlign w:val="center"/>
            <w:shd w:fill="F3F6FA"/>
          </w:tcPr>
          <w:p>
            <w:pPr>
              <w:spacing w:after="20"/>
            </w:pPr>
            <w:r>
              <w:rPr>
                <w:sz w:val="16"/>
              </w:rPr>
              <w:t>Text</w:t>
            </w:r>
          </w:p>
        </w:tc>
      </w:tr>
      <w:tr>
        <w:trPr>
          <w:cantSplit/>
        </w:trPr>
        <w:tc>
          <w:tcPr>
            <w:tcW w:type="dxa" w:w="2505"/>
            <w:vAlign w:val="center"/>
          </w:tcPr>
          <w:p>
            <w:pPr>
              <w:spacing w:after="20"/>
            </w:pPr>
            <w:r>
              <w:rPr>
                <w:sz w:val="16"/>
              </w:rPr>
              <w:t>SC-23</w:t>
            </w:r>
          </w:p>
        </w:tc>
        <w:tc>
          <w:tcPr>
            <w:tcW w:type="dxa" w:w="2505"/>
            <w:vAlign w:val="center"/>
          </w:tcPr>
          <w:p>
            <w:pPr>
              <w:spacing w:after="20"/>
            </w:pPr>
            <w:r>
              <w:rPr>
                <w:sz w:val="16"/>
              </w:rPr>
              <w:t>Manual belongs to different year</w:t>
            </w:r>
          </w:p>
        </w:tc>
        <w:tc>
          <w:tcPr>
            <w:tcW w:type="dxa" w:w="2505"/>
            <w:vAlign w:val="center"/>
          </w:tcPr>
          <w:p>
            <w:r>
              <w:rPr>
                <w:sz w:val="16"/>
              </w:rPr>
              <w:t>UNSUPPORTED; block mismatch</w:t>
            </w:r>
          </w:p>
        </w:tc>
        <w:tc>
          <w:tcPr>
            <w:tcW w:type="dxa" w:w="2505"/>
            <w:vAlign w:val="center"/>
          </w:tcPr>
          <w:p>
            <w:pPr>
              <w:spacing w:after="20"/>
            </w:pPr>
            <w:r>
              <w:rPr>
                <w:sz w:val="16"/>
              </w:rPr>
              <w:t>Metadata</w:t>
            </w:r>
          </w:p>
        </w:tc>
      </w:tr>
      <w:tr>
        <w:trPr>
          <w:cantSplit/>
        </w:trPr>
        <w:tc>
          <w:tcPr>
            <w:tcW w:type="dxa" w:w="2505"/>
            <w:vAlign w:val="center"/>
            <w:shd w:fill="F3F6FA"/>
          </w:tcPr>
          <w:p>
            <w:pPr>
              <w:spacing w:after="20"/>
            </w:pPr>
            <w:r>
              <w:rPr>
                <w:sz w:val="16"/>
              </w:rPr>
              <w:t>SC-24</w:t>
            </w:r>
          </w:p>
        </w:tc>
        <w:tc>
          <w:tcPr>
            <w:tcW w:type="dxa" w:w="2505"/>
            <w:vAlign w:val="center"/>
            <w:shd w:fill="F3F6FA"/>
          </w:tcPr>
          <w:p>
            <w:pPr>
              <w:spacing w:after="20"/>
            </w:pPr>
            <w:r>
              <w:rPr>
                <w:sz w:val="16"/>
              </w:rPr>
              <w:t>Safety warning prohibits action</w:t>
            </w:r>
          </w:p>
        </w:tc>
        <w:tc>
          <w:tcPr>
            <w:tcW w:type="dxa" w:w="2505"/>
            <w:vAlign w:val="center"/>
            <w:shd w:fill="F3F6FA"/>
          </w:tcPr>
          <w:p>
            <w:r>
              <w:rPr>
                <w:sz w:val="16"/>
              </w:rPr>
              <w:t>SAFETY_STOP</w:t>
            </w:r>
          </w:p>
        </w:tc>
        <w:tc>
          <w:tcPr>
            <w:tcW w:type="dxa" w:w="2505"/>
            <w:vAlign w:val="center"/>
            <w:shd w:fill="F3F6FA"/>
          </w:tcPr>
          <w:p>
            <w:pPr>
              <w:spacing w:after="20"/>
            </w:pPr>
            <w:r>
              <w:rPr>
                <w:sz w:val="16"/>
              </w:rPr>
              <w:t>Safety</w:t>
            </w:r>
          </w:p>
        </w:tc>
      </w:tr>
      <w:tr>
        <w:trPr>
          <w:cantSplit/>
        </w:trPr>
        <w:tc>
          <w:tcPr>
            <w:tcW w:type="dxa" w:w="2505"/>
            <w:vAlign w:val="center"/>
          </w:tcPr>
          <w:p>
            <w:pPr>
              <w:spacing w:after="20"/>
            </w:pPr>
            <w:r>
              <w:rPr>
                <w:sz w:val="16"/>
              </w:rPr>
              <w:t>SC-25</w:t>
            </w:r>
          </w:p>
        </w:tc>
        <w:tc>
          <w:tcPr>
            <w:tcW w:type="dxa" w:w="2505"/>
            <w:vAlign w:val="center"/>
          </w:tcPr>
          <w:p>
            <w:pPr>
              <w:spacing w:after="20"/>
            </w:pPr>
            <w:r>
              <w:rPr>
                <w:sz w:val="16"/>
              </w:rPr>
              <w:t>Contradictory excerpts</w:t>
            </w:r>
          </w:p>
        </w:tc>
        <w:tc>
          <w:tcPr>
            <w:tcW w:type="dxa" w:w="2505"/>
            <w:vAlign w:val="center"/>
          </w:tcPr>
          <w:p>
            <w:r>
              <w:rPr>
                <w:sz w:val="16"/>
              </w:rPr>
              <w:t>UNSUPPORTED and review; known applicable stop wins</w:t>
            </w:r>
          </w:p>
        </w:tc>
        <w:tc>
          <w:tcPr>
            <w:tcW w:type="dxa" w:w="2505"/>
            <w:vAlign w:val="center"/>
          </w:tcPr>
          <w:p>
            <w:pPr>
              <w:spacing w:after="20"/>
            </w:pPr>
            <w:r>
              <w:rPr>
                <w:sz w:val="16"/>
              </w:rPr>
              <w:t>Safety</w:t>
            </w:r>
          </w:p>
        </w:tc>
      </w:tr>
      <w:tr>
        <w:trPr>
          <w:cantSplit/>
        </w:trPr>
        <w:tc>
          <w:tcPr>
            <w:tcW w:type="dxa" w:w="2505"/>
            <w:vAlign w:val="center"/>
            <w:shd w:fill="F3F6FA"/>
          </w:tcPr>
          <w:p>
            <w:pPr>
              <w:spacing w:after="20"/>
            </w:pPr>
            <w:r>
              <w:rPr>
                <w:sz w:val="16"/>
              </w:rPr>
              <w:t>SC-26</w:t>
            </w:r>
          </w:p>
        </w:tc>
        <w:tc>
          <w:tcPr>
            <w:tcW w:type="dxa" w:w="2505"/>
            <w:vAlign w:val="center"/>
            <w:shd w:fill="F3F6FA"/>
          </w:tcPr>
          <w:p>
            <w:pPr>
              <w:spacing w:after="20"/>
            </w:pPr>
            <w:r>
              <w:rPr>
                <w:sz w:val="16"/>
              </w:rPr>
              <w:t>Malicious instruction in user text</w:t>
            </w:r>
          </w:p>
        </w:tc>
        <w:tc>
          <w:tcPr>
            <w:tcW w:type="dxa" w:w="2505"/>
            <w:vAlign w:val="center"/>
            <w:shd w:fill="F3F6FA"/>
          </w:tcPr>
          <w:p>
            <w:r>
              <w:rPr>
                <w:sz w:val="16"/>
              </w:rPr>
              <w:t>Ignore injection; ordinary gates determine status</w:t>
            </w:r>
          </w:p>
        </w:tc>
        <w:tc>
          <w:tcPr>
            <w:tcW w:type="dxa" w:w="2505"/>
            <w:vAlign w:val="center"/>
            <w:shd w:fill="F3F6FA"/>
          </w:tcPr>
          <w:p>
            <w:pPr>
              <w:spacing w:after="20"/>
            </w:pPr>
            <w:r>
              <w:rPr>
                <w:sz w:val="16"/>
              </w:rPr>
              <w:t>Security</w:t>
            </w:r>
          </w:p>
        </w:tc>
      </w:tr>
      <w:tr>
        <w:trPr>
          <w:cantSplit/>
        </w:trPr>
        <w:tc>
          <w:tcPr>
            <w:tcW w:type="dxa" w:w="2505"/>
            <w:vAlign w:val="center"/>
          </w:tcPr>
          <w:p>
            <w:pPr>
              <w:spacing w:after="20"/>
            </w:pPr>
            <w:r>
              <w:rPr>
                <w:sz w:val="16"/>
              </w:rPr>
              <w:t>SC-27</w:t>
            </w:r>
          </w:p>
        </w:tc>
        <w:tc>
          <w:tcPr>
            <w:tcW w:type="dxa" w:w="2505"/>
            <w:vAlign w:val="center"/>
          </w:tcPr>
          <w:p>
            <w:pPr>
              <w:spacing w:after="20"/>
            </w:pPr>
            <w:r>
              <w:rPr>
                <w:sz w:val="16"/>
              </w:rPr>
              <w:t>Malicious instruction in PDF</w:t>
            </w:r>
          </w:p>
        </w:tc>
        <w:tc>
          <w:tcPr>
            <w:tcW w:type="dxa" w:w="2505"/>
            <w:vAlign w:val="center"/>
          </w:tcPr>
          <w:p>
            <w:r>
              <w:rPr>
                <w:sz w:val="16"/>
              </w:rPr>
              <w:t>Ignore injection; ordinary gates determine status</w:t>
            </w:r>
          </w:p>
        </w:tc>
        <w:tc>
          <w:tcPr>
            <w:tcW w:type="dxa" w:w="2505"/>
            <w:vAlign w:val="center"/>
          </w:tcPr>
          <w:p>
            <w:pPr>
              <w:spacing w:after="20"/>
            </w:pPr>
            <w:r>
              <w:rPr>
                <w:sz w:val="16"/>
              </w:rPr>
              <w:t>Security</w:t>
            </w:r>
          </w:p>
        </w:tc>
      </w:tr>
      <w:tr>
        <w:trPr>
          <w:cantSplit/>
        </w:trPr>
        <w:tc>
          <w:tcPr>
            <w:tcW w:type="dxa" w:w="2505"/>
            <w:vAlign w:val="center"/>
            <w:shd w:fill="F3F6FA"/>
          </w:tcPr>
          <w:p>
            <w:pPr>
              <w:spacing w:after="20"/>
            </w:pPr>
            <w:r>
              <w:rPr>
                <w:sz w:val="16"/>
              </w:rPr>
              <w:t>SC-28</w:t>
            </w:r>
          </w:p>
        </w:tc>
        <w:tc>
          <w:tcPr>
            <w:tcW w:type="dxa" w:w="2505"/>
            <w:vAlign w:val="center"/>
            <w:shd w:fill="F3F6FA"/>
          </w:tcPr>
          <w:p>
            <w:pPr>
              <w:spacing w:after="20"/>
            </w:pPr>
            <w:r>
              <w:rPr>
                <w:sz w:val="16"/>
              </w:rPr>
              <w:t>Retrieval API down</w:t>
            </w:r>
          </w:p>
        </w:tc>
        <w:tc>
          <w:tcPr>
            <w:tcW w:type="dxa" w:w="2505"/>
            <w:vAlign w:val="center"/>
            <w:shd w:fill="F3F6FA"/>
          </w:tcPr>
          <w:p>
            <w:r>
              <w:rPr>
                <w:sz w:val="16"/>
              </w:rPr>
              <w:t>SYSTEM_ERROR</w:t>
            </w:r>
          </w:p>
        </w:tc>
        <w:tc>
          <w:tcPr>
            <w:tcW w:type="dxa" w:w="2505"/>
            <w:vAlign w:val="center"/>
            <w:shd w:fill="F3F6FA"/>
          </w:tcPr>
          <w:p>
            <w:pPr>
              <w:spacing w:after="20"/>
            </w:pPr>
            <w:r>
              <w:rPr>
                <w:sz w:val="16"/>
              </w:rPr>
              <w:t>Reliability</w:t>
            </w:r>
          </w:p>
        </w:tc>
      </w:tr>
      <w:tr>
        <w:trPr>
          <w:cantSplit/>
        </w:trPr>
        <w:tc>
          <w:tcPr>
            <w:tcW w:type="dxa" w:w="2505"/>
            <w:vAlign w:val="center"/>
          </w:tcPr>
          <w:p>
            <w:pPr>
              <w:spacing w:after="20"/>
            </w:pPr>
            <w:r>
              <w:rPr>
                <w:sz w:val="16"/>
              </w:rPr>
              <w:t>SC-29</w:t>
            </w:r>
          </w:p>
        </w:tc>
        <w:tc>
          <w:tcPr>
            <w:tcW w:type="dxa" w:w="2505"/>
            <w:vAlign w:val="center"/>
          </w:tcPr>
          <w:p>
            <w:pPr>
              <w:spacing w:after="20"/>
            </w:pPr>
            <w:r>
              <w:rPr>
                <w:sz w:val="16"/>
              </w:rPr>
              <w:t>Session reset/lost</w:t>
            </w:r>
          </w:p>
        </w:tc>
        <w:tc>
          <w:tcPr>
            <w:tcW w:type="dxa" w:w="2505"/>
            <w:vAlign w:val="center"/>
          </w:tcPr>
          <w:p>
            <w:r>
              <w:rPr>
                <w:sz w:val="16"/>
              </w:rPr>
              <w:t>AMBIGUOUS; reconfirm session facts</w:t>
            </w:r>
          </w:p>
        </w:tc>
        <w:tc>
          <w:tcPr>
            <w:tcW w:type="dxa" w:w="2505"/>
            <w:vAlign w:val="center"/>
          </w:tcPr>
          <w:p>
            <w:pPr>
              <w:spacing w:after="20"/>
            </w:pPr>
            <w:r>
              <w:rPr>
                <w:sz w:val="16"/>
              </w:rPr>
              <w:t>Reliability</w:t>
            </w:r>
          </w:p>
        </w:tc>
      </w:tr>
      <w:tr>
        <w:trPr>
          <w:cantSplit/>
        </w:trPr>
        <w:tc>
          <w:tcPr>
            <w:tcW w:type="dxa" w:w="2505"/>
            <w:vAlign w:val="center"/>
            <w:shd w:fill="F3F6FA"/>
          </w:tcPr>
          <w:p>
            <w:pPr>
              <w:spacing w:after="20"/>
            </w:pPr>
            <w:r>
              <w:rPr>
                <w:sz w:val="16"/>
              </w:rPr>
              <w:t>SC-30</w:t>
            </w:r>
          </w:p>
        </w:tc>
        <w:tc>
          <w:tcPr>
            <w:tcW w:type="dxa" w:w="2505"/>
            <w:vAlign w:val="center"/>
            <w:shd w:fill="F3F6FA"/>
          </w:tcPr>
          <w:p>
            <w:pPr>
              <w:spacing w:after="20"/>
            </w:pPr>
            <w:r>
              <w:rPr>
                <w:sz w:val="16"/>
              </w:rPr>
              <w:t>Voice transcript mishears component</w:t>
            </w:r>
          </w:p>
        </w:tc>
        <w:tc>
          <w:tcPr>
            <w:tcW w:type="dxa" w:w="2505"/>
            <w:vAlign w:val="center"/>
            <w:shd w:fill="F3F6FA"/>
          </w:tcPr>
          <w:p>
            <w:r>
              <w:rPr>
                <w:sz w:val="16"/>
              </w:rPr>
              <w:t>Confirm transcript before normal gates</w:t>
            </w:r>
          </w:p>
        </w:tc>
        <w:tc>
          <w:tcPr>
            <w:tcW w:type="dxa" w:w="2505"/>
            <w:vAlign w:val="center"/>
            <w:shd w:fill="F3F6FA"/>
          </w:tcPr>
          <w:p>
            <w:pPr>
              <w:spacing w:after="20"/>
            </w:pPr>
            <w:r>
              <w:rPr>
                <w:sz w:val="16"/>
              </w:rPr>
              <w:t>Voice</w:t>
            </w:r>
          </w:p>
        </w:tc>
      </w:tr>
      <w:tr>
        <w:trPr>
          <w:cantSplit/>
        </w:trPr>
        <w:tc>
          <w:tcPr>
            <w:tcW w:type="dxa" w:w="2505"/>
            <w:vAlign w:val="center"/>
          </w:tcPr>
          <w:p>
            <w:pPr>
              <w:spacing w:after="20"/>
            </w:pPr>
            <w:r>
              <w:rPr>
                <w:sz w:val="16"/>
              </w:rPr>
              <w:t>SC-31</w:t>
            </w:r>
          </w:p>
        </w:tc>
        <w:tc>
          <w:tcPr>
            <w:tcW w:type="dxa" w:w="2505"/>
            <w:vAlign w:val="center"/>
          </w:tcPr>
          <w:p>
            <w:pPr>
              <w:spacing w:after="20"/>
            </w:pPr>
            <w:r>
              <w:rPr>
                <w:sz w:val="16"/>
              </w:rPr>
              <w:t>Explicit user-reported resolution</w:t>
            </w:r>
          </w:p>
        </w:tc>
        <w:tc>
          <w:tcPr>
            <w:tcW w:type="dxa" w:w="2505"/>
            <w:vAlign w:val="center"/>
          </w:tcPr>
          <w:p>
            <w:r>
              <w:rPr>
                <w:sz w:val="16"/>
              </w:rPr>
              <w:t>Close as rider-reported resolution</w:t>
            </w:r>
          </w:p>
        </w:tc>
        <w:tc>
          <w:tcPr>
            <w:tcW w:type="dxa" w:w="2505"/>
            <w:vAlign w:val="center"/>
          </w:tcPr>
          <w:p>
            <w:pPr>
              <w:spacing w:after="20"/>
            </w:pPr>
            <w:r>
              <w:rPr>
                <w:sz w:val="16"/>
              </w:rPr>
              <w:t>Multi-turn</w:t>
            </w:r>
          </w:p>
        </w:tc>
      </w:tr>
      <w:tr>
        <w:trPr>
          <w:cantSplit/>
        </w:trPr>
        <w:tc>
          <w:tcPr>
            <w:tcW w:type="dxa" w:w="2505"/>
            <w:vAlign w:val="center"/>
            <w:shd w:fill="F3F6FA"/>
          </w:tcPr>
          <w:p>
            <w:pPr>
              <w:spacing w:after="20"/>
            </w:pPr>
            <w:r>
              <w:rPr>
                <w:sz w:val="16"/>
              </w:rPr>
              <w:t>SC-32</w:t>
            </w:r>
          </w:p>
        </w:tc>
        <w:tc>
          <w:tcPr>
            <w:tcW w:type="dxa" w:w="2505"/>
            <w:vAlign w:val="center"/>
            <w:shd w:fill="F3F6FA"/>
          </w:tcPr>
          <w:p>
            <w:pPr>
              <w:spacing w:after="20"/>
            </w:pPr>
            <w:r>
              <w:rPr>
                <w:sz w:val="16"/>
              </w:rPr>
              <w:t>Relevant passage retrieved but lacks requested action</w:t>
            </w:r>
          </w:p>
        </w:tc>
        <w:tc>
          <w:tcPr>
            <w:tcW w:type="dxa" w:w="2505"/>
            <w:vAlign w:val="center"/>
            <w:shd w:fill="F3F6FA"/>
          </w:tcPr>
          <w:p>
            <w:r>
              <w:rPr>
                <w:sz w:val="16"/>
              </w:rPr>
              <w:t>UNSUPPORTED and verified OEM support</w:t>
            </w:r>
          </w:p>
        </w:tc>
        <w:tc>
          <w:tcPr>
            <w:tcW w:type="dxa" w:w="2505"/>
            <w:vAlign w:val="center"/>
            <w:shd w:fill="F3F6FA"/>
          </w:tcPr>
          <w:p>
            <w:pPr>
              <w:spacing w:after="20"/>
            </w:pPr>
            <w:r>
              <w:rPr>
                <w:sz w:val="16"/>
              </w:rPr>
              <w:t>Grounding</w:t>
            </w:r>
          </w:p>
        </w:tc>
      </w:tr>
    </w:tbl>
    <w:p>
      <w:pPr>
        <w:spacing w:after="0"/>
      </w:pPr>
    </w:p>
    <w:p>
      <w:pPr>
        <w:pStyle w:val="Heading1"/>
      </w:pPr>
      <w:r>
        <w:rPr>
          <w:color w:val="000000"/>
        </w:rPr>
        <w:t>3  Architecture decision register: choice, alternatives and reversal triggers</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trPr>
        <w:tc>
          <w:tcPr>
            <w:tcW w:type="dxa" w:w="3341"/>
            <w:shd w:fill="102238"/>
          </w:tcPr>
          <w:p>
            <w:pPr>
              <w:keepNext/>
            </w:pPr>
            <w:r>
              <w:rPr>
                <w:b/>
                <w:color w:val="FFFFFF"/>
                <w:sz w:val="16"/>
              </w:rPr>
              <w:t>ID / decision</w:t>
            </w:r>
          </w:p>
        </w:tc>
        <w:tc>
          <w:tcPr>
            <w:tcW w:type="dxa" w:w="3341"/>
            <w:shd w:fill="102238"/>
          </w:tcPr>
          <w:p>
            <w:r>
              <w:rPr>
                <w:b/>
                <w:color w:val="FFFFFF"/>
                <w:sz w:val="16"/>
              </w:rPr>
              <w:t>Provisional choice</w:t>
            </w:r>
          </w:p>
        </w:tc>
        <w:tc>
          <w:tcPr>
            <w:tcW w:type="dxa" w:w="3341"/>
            <w:shd w:fill="102238"/>
          </w:tcPr>
          <w:p>
            <w:r>
              <w:rPr>
                <w:b/>
                <w:color w:val="FFFFFF"/>
                <w:sz w:val="16"/>
              </w:rPr>
              <w:t>Alternatives / what would change the decision</w:t>
            </w:r>
          </w:p>
        </w:tc>
      </w:tr>
      <w:tr>
        <w:trPr>
          <w:cantSplit/>
        </w:trPr>
        <w:tc>
          <w:tcPr>
            <w:tcW w:type="dxa" w:w="3341"/>
            <w:vAlign w:val="center"/>
          </w:tcPr>
          <w:p>
            <w:r>
              <w:rPr>
                <w:sz w:val="16"/>
              </w:rPr>
              <w:t>ADR-01 Parser</w:t>
            </w:r>
          </w:p>
        </w:tc>
        <w:tc>
          <w:tcPr>
            <w:tcW w:type="dxa" w:w="3341"/>
            <w:vAlign w:val="center"/>
          </w:tcPr>
          <w:p>
            <w:r>
              <w:rPr>
                <w:sz w:val="16"/>
              </w:rPr>
              <w:t>Docling in hosted ingestion; flagged whole-page fallback for PDF 103</w:t>
            </w:r>
          </w:p>
        </w:tc>
        <w:tc>
          <w:tcPr>
            <w:tcW w:type="dxa" w:w="3341"/>
            <w:vAlign w:val="center"/>
          </w:tcPr>
          <w:p>
            <w:r>
              <w:rPr>
                <w:sz w:val="16"/>
              </w:rPr>
              <w:t>Other layout parsers or Document AI only after reviewed extraction comparison; fallback is unapproved source context</w:t>
            </w:r>
          </w:p>
        </w:tc>
      </w:tr>
      <w:tr>
        <w:trPr>
          <w:cantSplit/>
        </w:trPr>
        <w:tc>
          <w:tcPr>
            <w:tcW w:type="dxa" w:w="3341"/>
            <w:vAlign w:val="center"/>
            <w:shd w:fill="F3F6FA"/>
          </w:tcPr>
          <w:p>
            <w:r>
              <w:rPr>
                <w:sz w:val="16"/>
              </w:rPr>
              <w:t>ADR-02 Chunking</w:t>
            </w:r>
          </w:p>
        </w:tc>
        <w:tc>
          <w:tcPr>
            <w:tcW w:type="dxa" w:w="3341"/>
            <w:vAlign w:val="center"/>
            <w:shd w:fill="F3F6FA"/>
          </w:tcPr>
          <w:p>
            <w:r>
              <w:rPr>
                <w:sz w:val="16"/>
              </w:rPr>
              <w:t>1,024-token parent-child search chunks with section context</w:t>
            </w:r>
          </w:p>
        </w:tc>
        <w:tc>
          <w:tcPr>
            <w:tcW w:type="dxa" w:w="3341"/>
            <w:vAlign w:val="center"/>
            <w:shd w:fill="F3F6FA"/>
          </w:tcPr>
          <w:p>
            <w:r>
              <w:rPr>
                <w:sz w:val="16"/>
              </w:rPr>
              <w:t>Procedure parents still unreviewed; compare alternatives on warning/condition completeness</w:t>
            </w:r>
          </w:p>
        </w:tc>
      </w:tr>
      <w:tr>
        <w:trPr>
          <w:cantSplit/>
        </w:trPr>
        <w:tc>
          <w:tcPr>
            <w:tcW w:type="dxa" w:w="3341"/>
            <w:vAlign w:val="center"/>
          </w:tcPr>
          <w:p>
            <w:r>
              <w:rPr>
                <w:sz w:val="16"/>
              </w:rPr>
              <w:t>ADR-03 Retrieval</w:t>
            </w:r>
          </w:p>
        </w:tc>
        <w:tc>
          <w:tcPr>
            <w:tcW w:type="dxa" w:w="3341"/>
            <w:vAlign w:val="center"/>
          </w:tcPr>
          <w:p>
            <w:r>
              <w:rPr>
                <w:sz w:val="16"/>
              </w:rPr>
              <w:t>BGE M3 cosine + BM25 + RRF, bounded reviewed expansion</w:t>
            </w:r>
          </w:p>
        </w:tc>
        <w:tc>
          <w:tcPr>
            <w:tcW w:type="dxa" w:w="3341"/>
            <w:vAlign w:val="center"/>
          </w:tcPr>
          <w:p>
            <w:r>
              <w:rPr>
                <w:sz w:val="16"/>
              </w:rPr>
              <w:t>Dense-only/sparse alternatives require same reviewed held-out cases</w:t>
            </w:r>
          </w:p>
        </w:tc>
      </w:tr>
      <w:tr>
        <w:trPr>
          <w:cantSplit/>
        </w:trPr>
        <w:tc>
          <w:tcPr>
            <w:tcW w:type="dxa" w:w="3341"/>
            <w:vAlign w:val="center"/>
            <w:shd w:fill="F3F6FA"/>
          </w:tcPr>
          <w:p>
            <w:r>
              <w:rPr>
                <w:sz w:val="16"/>
              </w:rPr>
              <w:t>ADR-04 Embeddings</w:t>
            </w:r>
          </w:p>
        </w:tc>
        <w:tc>
          <w:tcPr>
            <w:tcW w:type="dxa" w:w="3341"/>
            <w:vAlign w:val="center"/>
            <w:shd w:fill="F3F6FA"/>
          </w:tcPr>
          <w:p>
            <w:r>
              <w:rPr>
                <w:sz w:val="16"/>
              </w:rPr>
              <w:t>BGE M3 selected candidate; 532 chunks and 277 section parents</w:t>
            </w:r>
          </w:p>
        </w:tc>
        <w:tc>
          <w:tcPr>
            <w:tcW w:type="dxa" w:w="3341"/>
            <w:vAlign w:val="center"/>
            <w:shd w:fill="F3F6FA"/>
          </w:tcPr>
          <w:p>
            <w:r>
              <w:rPr>
                <w:sz w:val="16"/>
              </w:rPr>
              <w:t>MiniLM hybrid 21/27 vs BGE 23/27 draft page coverage; no release-quality claim</w:t>
            </w:r>
          </w:p>
        </w:tc>
      </w:tr>
      <w:tr>
        <w:trPr>
          <w:cantSplit/>
        </w:trPr>
        <w:tc>
          <w:tcPr>
            <w:tcW w:type="dxa" w:w="3341"/>
            <w:vAlign w:val="center"/>
          </w:tcPr>
          <w:p>
            <w:r>
              <w:rPr>
                <w:sz w:val="16"/>
              </w:rPr>
              <w:t>ADR-05 Links</w:t>
            </w:r>
          </w:p>
        </w:tc>
        <w:tc>
          <w:tcPr>
            <w:tcW w:type="dxa" w:w="3341"/>
            <w:vAlign w:val="center"/>
          </w:tcPr>
          <w:p>
            <w:r>
              <w:rPr>
                <w:sz w:val="16"/>
              </w:rPr>
              <w:t>Lightweight provenance graph; only approved dependencies can authorize steps</w:t>
            </w:r>
          </w:p>
        </w:tc>
        <w:tc>
          <w:tcPr>
            <w:tcW w:type="dxa" w:w="3341"/>
            <w:vAlign w:val="center"/>
          </w:tcPr>
          <w:p>
            <w:r>
              <w:rPr>
                <w:sz w:val="16"/>
              </w:rPr>
              <w:t>Structural/topic links are context; full GraphRAG requires measured gains and source-verifiable edges</w:t>
            </w:r>
          </w:p>
        </w:tc>
      </w:tr>
      <w:tr>
        <w:trPr>
          <w:cantSplit/>
        </w:trPr>
        <w:tc>
          <w:tcPr>
            <w:tcW w:type="dxa" w:w="3341"/>
            <w:vAlign w:val="center"/>
            <w:shd w:fill="F3F6FA"/>
          </w:tcPr>
          <w:p>
            <w:r>
              <w:rPr>
                <w:sz w:val="16"/>
              </w:rPr>
              <w:t>ADR-06 Rerank</w:t>
            </w:r>
          </w:p>
        </w:tc>
        <w:tc>
          <w:tcPr>
            <w:tcW w:type="dxa" w:w="3341"/>
            <w:vAlign w:val="center"/>
            <w:shd w:fill="F3F6FA"/>
          </w:tcPr>
          <w:p>
            <w:r>
              <w:rPr>
                <w:sz w:val="16"/>
              </w:rPr>
              <w:t>Owner-approved conditional cross-encoder policy in TRD v0.4</w:t>
            </w:r>
          </w:p>
        </w:tc>
        <w:tc>
          <w:tcPr>
            <w:tcW w:type="dxa" w:w="3341"/>
            <w:vAlign w:val="center"/>
            <w:shd w:fill="F3F6FA"/>
          </w:tcPr>
          <w:p>
            <w:r>
              <w:rPr>
                <w:sz w:val="16"/>
              </w:rPr>
              <w:t>Off/always_diagnostic ablations; current review gaps skip it; calibrate distinct-parent triggers independently</w:t>
            </w:r>
          </w:p>
        </w:tc>
      </w:tr>
      <w:tr>
        <w:trPr>
          <w:cantSplit/>
        </w:trPr>
        <w:tc>
          <w:tcPr>
            <w:tcW w:type="dxa" w:w="3341"/>
            <w:vAlign w:val="center"/>
          </w:tcPr>
          <w:p>
            <w:r>
              <w:rPr>
                <w:sz w:val="16"/>
              </w:rPr>
              <w:t>ADR-07 Sufficiency</w:t>
            </w:r>
          </w:p>
        </w:tc>
        <w:tc>
          <w:tcPr>
            <w:tcW w:type="dxa" w:w="3341"/>
            <w:vAlign w:val="center"/>
          </w:tcPr>
          <w:p>
            <w:r>
              <w:rPr>
                <w:sz w:val="16"/>
              </w:rPr>
              <w:t>Approved dependency manifest, deterministic checks and final semantic claim validation</w:t>
            </w:r>
          </w:p>
        </w:tc>
        <w:tc>
          <w:tcPr>
            <w:tcW w:type="dxa" w:w="3341"/>
            <w:vAlign w:val="center"/>
          </w:tcPr>
          <w:p>
            <w:r>
              <w:rPr>
                <w:sz w:val="16"/>
              </w:rPr>
              <w:t>No empty/unreviewed set passes; template alternative if false approvals persist</w:t>
            </w:r>
          </w:p>
        </w:tc>
      </w:tr>
      <w:tr>
        <w:trPr>
          <w:cantSplit/>
        </w:trPr>
        <w:tc>
          <w:tcPr>
            <w:tcW w:type="dxa" w:w="3341"/>
            <w:vAlign w:val="center"/>
            <w:shd w:fill="F3F6FA"/>
          </w:tcPr>
          <w:p>
            <w:r>
              <w:rPr>
                <w:sz w:val="16"/>
              </w:rPr>
              <w:t>ADR-08 Stateful dialog</w:t>
            </w:r>
          </w:p>
        </w:tc>
        <w:tc>
          <w:tcPr>
            <w:tcW w:type="dxa" w:w="3341"/>
            <w:vAlign w:val="center"/>
            <w:shd w:fill="F3F6FA"/>
          </w:tcPr>
          <w:p>
            <w:r>
              <w:rPr>
                <w:sz w:val="16"/>
              </w:rPr>
              <w:t>Deterministic controller; approved registry; TRUE/FALSE/UNKNOWN predicates</w:t>
            </w:r>
          </w:p>
        </w:tc>
        <w:tc>
          <w:tcPr>
            <w:tcW w:type="dxa" w:w="3341"/>
            <w:vAlign w:val="center"/>
            <w:shd w:fill="F3F6FA"/>
          </w:tcPr>
          <w:p>
            <w:r>
              <w:rPr>
                <w:sz w:val="16"/>
              </w:rPr>
              <w:t>Decisions API or Jev may interpret outcomes or rank already eligible steps after benchmarking; never replace authority gates</w:t>
            </w:r>
          </w:p>
        </w:tc>
      </w:tr>
      <w:tr>
        <w:trPr>
          <w:cantSplit/>
        </w:trPr>
        <w:tc>
          <w:tcPr>
            <w:tcW w:type="dxa" w:w="3341"/>
            <w:vAlign w:val="center"/>
          </w:tcPr>
          <w:p>
            <w:pPr>
              <w:spacing w:after="20"/>
            </w:pPr>
            <w:r>
              <w:rPr>
                <w:sz w:val="16"/>
              </w:rPr>
              <w:t>ADR-09 Image</w:t>
            </w:r>
          </w:p>
        </w:tc>
        <w:tc>
          <w:tcPr>
            <w:tcW w:type="dxa" w:w="3341"/>
            <w:vAlign w:val="center"/>
          </w:tcPr>
          <w:p>
            <w:pPr>
              <w:spacing w:after="20"/>
            </w:pPr>
            <w:r>
              <w:rPr>
                <w:sz w:val="16"/>
              </w:rPr>
              <w:t>Observation-only VLM + manual lookup</w:t>
            </w:r>
          </w:p>
        </w:tc>
        <w:tc>
          <w:tcPr>
            <w:tcW w:type="dxa" w:w="3341"/>
            <w:vAlign w:val="center"/>
          </w:tcPr>
          <w:p>
            <w:pPr>
              <w:spacing w:after="20"/>
            </w:pPr>
            <w:r>
              <w:rPr>
                <w:sz w:val="16"/>
              </w:rPr>
              <w:t>ColPali/visual-page retrieval for figure-dependent misses</w:t>
            </w:r>
          </w:p>
        </w:tc>
      </w:tr>
      <w:tr>
        <w:trPr>
          <w:cantSplit/>
        </w:trPr>
        <w:tc>
          <w:tcPr>
            <w:tcW w:type="dxa" w:w="3341"/>
            <w:vAlign w:val="center"/>
            <w:shd w:fill="F3F6FA"/>
          </w:tcPr>
          <w:p>
            <w:pPr>
              <w:spacing w:after="20"/>
            </w:pPr>
            <w:r>
              <w:rPr>
                <w:sz w:val="16"/>
              </w:rPr>
              <w:t>ADR-10 Voice</w:t>
            </w:r>
          </w:p>
        </w:tc>
        <w:tc>
          <w:tcPr>
            <w:tcW w:type="dxa" w:w="3341"/>
            <w:vAlign w:val="center"/>
            <w:shd w:fill="F3F6FA"/>
          </w:tcPr>
          <w:p>
            <w:pPr>
              <w:spacing w:after="20"/>
            </w:pPr>
            <w:r>
              <w:rPr>
                <w:sz w:val="16"/>
              </w:rPr>
              <w:t>Optional STT with Sarvam evaluation</w:t>
            </w:r>
          </w:p>
        </w:tc>
        <w:tc>
          <w:tcPr>
            <w:tcW w:type="dxa" w:w="3341"/>
            <w:vAlign w:val="center"/>
            <w:shd w:fill="F3F6FA"/>
          </w:tcPr>
          <w:p>
            <w:pPr>
              <w:spacing w:after="20"/>
            </w:pPr>
            <w:r>
              <w:rPr>
                <w:sz w:val="16"/>
              </w:rPr>
              <w:t>Provider alternatives if technical-term accuracy, language or cost poorer</w:t>
            </w:r>
          </w:p>
        </w:tc>
      </w:tr>
      <w:tr>
        <w:trPr>
          <w:cantSplit/>
        </w:trPr>
        <w:tc>
          <w:tcPr>
            <w:tcW w:type="dxa" w:w="3341"/>
            <w:vAlign w:val="center"/>
          </w:tcPr>
          <w:p>
            <w:r>
              <w:rPr>
                <w:sz w:val="16"/>
              </w:rPr>
              <w:t>ADR-11 Hosting</w:t>
            </w:r>
          </w:p>
        </w:tc>
        <w:tc>
          <w:tcPr>
            <w:tcW w:type="dxa" w:w="3341"/>
            <w:vAlign w:val="center"/>
          </w:tcPr>
          <w:p>
            <w:r>
              <w:rPr>
                <w:sz w:val="16"/>
              </w:rPr>
              <w:t>Private GitHub hosted build; authenticated GCP Cloud Run Qdrant and private Storage; Streamlit UI pending</w:t>
            </w:r>
          </w:p>
        </w:tc>
        <w:tc>
          <w:tcPr>
            <w:tcW w:type="dxa" w:w="3341"/>
            <w:vAlign w:val="center"/>
          </w:tcPr>
          <w:p>
            <w:r>
              <w:rPr>
                <w:sz w:val="16"/>
              </w:rPr>
              <w:t>UI hosting provider remains open; preserve online operation, immutable index, server secrets and project budget</w:t>
            </w:r>
          </w:p>
        </w:tc>
      </w:tr>
      <w:tr>
        <w:trPr>
          <w:cantSplit/>
        </w:trPr>
        <w:tc>
          <w:tcPr>
            <w:tcW w:type="dxa" w:w="3341"/>
            <w:vAlign w:val="center"/>
            <w:shd w:fill="F3F6FA"/>
          </w:tcPr>
          <w:p>
            <w:r>
              <w:rPr>
                <w:sz w:val="16"/>
              </w:rPr>
              <w:t>ADR-12 Observability</w:t>
            </w:r>
          </w:p>
        </w:tc>
        <w:tc>
          <w:tcPr>
            <w:tcW w:type="dxa" w:w="3341"/>
            <w:vAlign w:val="center"/>
            <w:shd w:fill="F3F6FA"/>
          </w:tcPr>
          <w:p>
            <w:r>
              <w:rPr>
                <w:sz w:val="16"/>
              </w:rPr>
              <w:t>TRD RetrievalDecision and eligibility/claim spans; OpenTelemetry-compatible target</w:t>
            </w:r>
          </w:p>
        </w:tc>
        <w:tc>
          <w:tcPr>
            <w:tcW w:type="dxa" w:w="3341"/>
            <w:vAlign w:val="center"/>
            <w:shd w:fill="F3F6FA"/>
          </w:tcPr>
          <w:p>
            <w:r>
              <w:rPr>
                <w:sz w:val="16"/>
              </w:rPr>
              <w:t>Simple redacted traces or Langfuse backend; measured integration decision pending</w:t>
            </w:r>
          </w:p>
        </w:tc>
      </w:tr>
    </w:tbl>
    <w:p>
      <w:pPr>
        <w:spacing w:after="0"/>
      </w:pPr>
    </w:p>
    <w:p>
      <w:r>
        <w:t>Record dataset/version, review status, measured recall delta, unsupported eligibility/claim approvals, p95 and cost before changing a choice. Hosted draft diagnostics justify a candidate baseline only. Conditional scheduling is approved as a design policy; thresholds and release activation remain uncalibrated. Parser, retrieval, vision and voice alternatives remain experiments.</w:t>
      </w:r>
    </w:p>
    <w:p>
      <w:pPr>
        <w:pStyle w:val="Heading1"/>
      </w:pPr>
      <w:r>
        <w:rPr>
          <w:color w:val="000000"/>
        </w:rPr>
        <w:t>4  Golden-answer dataset: provisional atomic cases</w:t>
      </w:r>
    </w:p>
    <w:p>
      <w:r>
        <w:t>Do not invent OEM facts. The supplied owner's manual has been indexed provisionally, and 37 atomic dialogue and lookup cases are drafted with source pages. Independently review their spans, outcomes and variant fit before approval; expand toward 50–100 cases, adding photograph scenarios only where evidence supports them.</w:t>
      </w:r>
    </w:p>
    <w:tbl>
      <w:tblPr>
        <w:tblStyle w:val="LightShading-Accent1"/>
        <w:tblW w:type="auto" w:w="0"/>
        <w:jc w:val="center"/>
        <w:tblLayout w:type="autofit"/>
        <w:tblLook w:firstColumn="1" w:firstRow="1" w:lastColumn="0" w:lastRow="0" w:noHBand="0" w:noVBand="1" w:val="04A0"/>
      </w:tblPr>
      <w:tblGrid>
        <w:gridCol w:w="5011"/>
        <w:gridCol w:w="5011"/>
      </w:tblGrid>
      <w:tr>
        <w:trPr>
          <w:tblHeader/>
        </w:trPr>
        <w:tc>
          <w:tcPr>
            <w:tcW w:type="dxa" w:w="5011"/>
            <w:shd w:fill="102238"/>
          </w:tcPr>
          <w:p>
            <w:pPr>
              <w:keepNext/>
            </w:pPr>
            <w:r>
              <w:rPr>
                <w:b/>
                <w:color w:val="FFFFFF"/>
                <w:sz w:val="16"/>
              </w:rPr>
              <w:t>Field</w:t>
            </w:r>
          </w:p>
        </w:tc>
        <w:tc>
          <w:tcPr>
            <w:tcW w:type="dxa" w:w="5011"/>
            <w:shd w:fill="102238"/>
          </w:tcPr>
          <w:p>
            <w:r>
              <w:rPr>
                <w:b/>
                <w:color w:val="FFFFFF"/>
                <w:sz w:val="16"/>
              </w:rPr>
              <w:t>Description</w:t>
            </w:r>
          </w:p>
        </w:tc>
      </w:tr>
      <w:tr>
        <w:trPr>
          <w:cantSplit/>
        </w:trPr>
        <w:tc>
          <w:tcPr>
            <w:tcW w:type="dxa" w:w="5011"/>
            <w:vAlign w:val="center"/>
          </w:tcPr>
          <w:p>
            <w:pPr>
              <w:spacing w:after="20"/>
            </w:pPr>
            <w:r>
              <w:rPr>
                <w:sz w:val="16"/>
              </w:rPr>
              <w:t>case_id / manual_id / version</w:t>
            </w:r>
          </w:p>
        </w:tc>
        <w:tc>
          <w:tcPr>
            <w:tcW w:type="dxa" w:w="5011"/>
            <w:vAlign w:val="center"/>
          </w:tcPr>
          <w:p>
            <w:pPr>
              <w:spacing w:after="20"/>
            </w:pPr>
            <w:r>
              <w:rPr>
                <w:sz w:val="16"/>
              </w:rPr>
              <w:t>Stable identifiers and model/variant metadata</w:t>
            </w:r>
          </w:p>
        </w:tc>
      </w:tr>
      <w:tr>
        <w:trPr>
          <w:cantSplit/>
        </w:trPr>
        <w:tc>
          <w:tcPr>
            <w:tcW w:type="dxa" w:w="5011"/>
            <w:vAlign w:val="center"/>
            <w:shd w:fill="F3F6FA"/>
          </w:tcPr>
          <w:p>
            <w:pPr>
              <w:spacing w:after="20"/>
            </w:pPr>
            <w:r>
              <w:rPr>
                <w:sz w:val="16"/>
              </w:rPr>
              <w:t>query / turns / attachments</w:t>
            </w:r>
          </w:p>
        </w:tc>
        <w:tc>
          <w:tcPr>
            <w:tcW w:type="dxa" w:w="5011"/>
            <w:vAlign w:val="center"/>
            <w:shd w:fill="F3F6FA"/>
          </w:tcPr>
          <w:p>
            <w:pPr>
              <w:spacing w:after="20"/>
            </w:pPr>
            <w:r>
              <w:rPr>
                <w:sz w:val="16"/>
              </w:rPr>
              <w:t>User question, prior result history and image reference if any</w:t>
            </w:r>
          </w:p>
        </w:tc>
      </w:tr>
      <w:tr>
        <w:trPr>
          <w:cantSplit/>
        </w:trPr>
        <w:tc>
          <w:tcPr>
            <w:tcW w:type="dxa" w:w="5011"/>
            <w:vAlign w:val="center"/>
          </w:tcPr>
          <w:p>
            <w:r>
              <w:rPr>
                <w:sz w:val="16"/>
              </w:rPr>
              <w:t>expected_route</w:t>
            </w:r>
          </w:p>
        </w:tc>
        <w:tc>
          <w:tcPr>
            <w:tcW w:type="dxa" w:w="5011"/>
            <w:vAlign w:val="center"/>
          </w:tcPr>
          <w:p>
            <w:r>
              <w:rPr>
                <w:sz w:val="16"/>
              </w:rPr>
              <w:t>SUPPORTED / AMBIGUOUS / UNSUPPORTED / SAFETY_STOP / SYSTEM_ERROR; record transition/closure separately</w:t>
            </w:r>
          </w:p>
        </w:tc>
      </w:tr>
      <w:tr>
        <w:trPr>
          <w:cantSplit/>
        </w:trPr>
        <w:tc>
          <w:tcPr>
            <w:tcW w:type="dxa" w:w="5011"/>
            <w:vAlign w:val="center"/>
            <w:shd w:fill="F3F6FA"/>
          </w:tcPr>
          <w:p>
            <w:pPr>
              <w:spacing w:after="20"/>
            </w:pPr>
            <w:r>
              <w:rPr>
                <w:sz w:val="16"/>
              </w:rPr>
              <w:t>expected_observations</w:t>
            </w:r>
          </w:p>
        </w:tc>
        <w:tc>
          <w:tcPr>
            <w:tcW w:type="dxa" w:w="5011"/>
            <w:vAlign w:val="center"/>
            <w:shd w:fill="F3F6FA"/>
          </w:tcPr>
          <w:p>
            <w:pPr>
              <w:spacing w:after="20"/>
            </w:pPr>
            <w:r>
              <w:rPr>
                <w:sz w:val="16"/>
              </w:rPr>
              <w:t>Relevant confirmed, unknown or excluded diagnostic conditions</w:t>
            </w:r>
          </w:p>
        </w:tc>
      </w:tr>
      <w:tr>
        <w:trPr>
          <w:cantSplit/>
        </w:trPr>
        <w:tc>
          <w:tcPr>
            <w:tcW w:type="dxa" w:w="5011"/>
            <w:vAlign w:val="center"/>
          </w:tcPr>
          <w:p>
            <w:r>
              <w:rPr>
                <w:sz w:val="16"/>
              </w:rPr>
              <w:t>mandatory_evidence_ids</w:t>
            </w:r>
          </w:p>
        </w:tc>
        <w:tc>
          <w:tcPr>
            <w:tcW w:type="dxa" w:w="5011"/>
            <w:vAlign w:val="center"/>
          </w:tcPr>
          <w:p>
            <w:r>
              <w:rPr>
                <w:sz w:val="16"/>
              </w:rPr>
              <w:t>Approved action and dependency set, dependency manifest/version/review status, required and attached IDs, original-page provenance</w:t>
            </w:r>
          </w:p>
        </w:tc>
      </w:tr>
      <w:tr>
        <w:trPr>
          <w:cantSplit/>
        </w:trPr>
        <w:tc>
          <w:tcPr>
            <w:tcW w:type="dxa" w:w="5011"/>
            <w:vAlign w:val="center"/>
            <w:shd w:fill="F3F6FA"/>
          </w:tcPr>
          <w:p>
            <w:pPr>
              <w:spacing w:after="20"/>
            </w:pPr>
            <w:r>
              <w:rPr>
                <w:sz w:val="16"/>
              </w:rPr>
              <w:t>canonical_answer_facts</w:t>
            </w:r>
          </w:p>
        </w:tc>
        <w:tc>
          <w:tcPr>
            <w:tcW w:type="dxa" w:w="5011"/>
            <w:vAlign w:val="center"/>
            <w:shd w:fill="F3F6FA"/>
          </w:tcPr>
          <w:p>
            <w:pPr>
              <w:spacing w:after="20"/>
            </w:pPr>
            <w:r>
              <w:rPr>
                <w:sz w:val="16"/>
              </w:rPr>
              <w:t>Minimal facts the answer must contain; paraphrasing allowed</w:t>
            </w:r>
          </w:p>
        </w:tc>
      </w:tr>
      <w:tr>
        <w:trPr>
          <w:cantSplit/>
        </w:trPr>
        <w:tc>
          <w:tcPr>
            <w:tcW w:type="dxa" w:w="5011"/>
            <w:vAlign w:val="center"/>
          </w:tcPr>
          <w:p>
            <w:pPr>
              <w:spacing w:after="20"/>
            </w:pPr>
            <w:r>
              <w:rPr>
                <w:sz w:val="16"/>
              </w:rPr>
              <w:t>forbidden_claims</w:t>
            </w:r>
          </w:p>
        </w:tc>
        <w:tc>
          <w:tcPr>
            <w:tcW w:type="dxa" w:w="5011"/>
            <w:vAlign w:val="center"/>
          </w:tcPr>
          <w:p>
            <w:pPr>
              <w:spacing w:after="20"/>
            </w:pPr>
            <w:r>
              <w:rPr>
                <w:sz w:val="16"/>
              </w:rPr>
              <w:t>Specific unsupported diagnoses/actions that must not appear</w:t>
            </w:r>
          </w:p>
        </w:tc>
      </w:tr>
      <w:tr>
        <w:trPr>
          <w:cantSplit/>
        </w:trPr>
        <w:tc>
          <w:tcPr>
            <w:tcW w:type="dxa" w:w="5011"/>
            <w:vAlign w:val="center"/>
            <w:shd w:fill="F3F6FA"/>
          </w:tcPr>
          <w:p>
            <w:pPr>
              <w:spacing w:after="20"/>
            </w:pPr>
            <w:r>
              <w:rPr>
                <w:sz w:val="16"/>
              </w:rPr>
              <w:t>expected_next_step_id</w:t>
            </w:r>
          </w:p>
        </w:tc>
        <w:tc>
          <w:tcPr>
            <w:tcW w:type="dxa" w:w="5011"/>
            <w:vAlign w:val="center"/>
            <w:shd w:fill="F3F6FA"/>
          </w:tcPr>
          <w:p>
            <w:pPr>
              <w:spacing w:after="20"/>
            </w:pPr>
            <w:r>
              <w:rPr>
                <w:sz w:val="16"/>
              </w:rPr>
              <w:t>Exact allowed next documented step or escalation</w:t>
            </w:r>
          </w:p>
        </w:tc>
      </w:tr>
      <w:tr>
        <w:trPr>
          <w:cantSplit/>
        </w:trPr>
        <w:tc>
          <w:tcPr>
            <w:tcW w:type="dxa" w:w="5011"/>
            <w:vAlign w:val="center"/>
          </w:tcPr>
          <w:p>
            <w:pPr>
              <w:spacing w:after="20"/>
            </w:pPr>
            <w:r>
              <w:rPr>
                <w:sz w:val="16"/>
              </w:rPr>
              <w:t>reviewer / provenance / confidence</w:t>
            </w:r>
          </w:p>
        </w:tc>
        <w:tc>
          <w:tcPr>
            <w:tcW w:type="dxa" w:w="5011"/>
            <w:vAlign w:val="center"/>
          </w:tcPr>
          <w:p>
            <w:pPr>
              <w:spacing w:after="20"/>
            </w:pPr>
            <w:r>
              <w:rPr>
                <w:sz w:val="16"/>
              </w:rPr>
              <w:t>Human verification, printed page, PDF index and link to source</w:t>
            </w:r>
          </w:p>
        </w:tc>
      </w:tr>
      <w:tr>
        <w:trPr>
          <w:cantSplit/>
        </w:trPr>
        <w:tc>
          <w:tcPr>
            <w:tcW w:type="dxa" w:w="5011"/>
            <w:vAlign w:val="center"/>
            <w:shd w:fill="F3F6FA"/>
          </w:tcPr>
          <w:p>
            <w:pPr>
              <w:spacing w:after="20"/>
            </w:pPr>
            <w:r>
              <w:rPr>
                <w:sz w:val="16"/>
              </w:rPr>
              <w:t>evaluation_split / difficulty</w:t>
            </w:r>
          </w:p>
        </w:tc>
        <w:tc>
          <w:tcPr>
            <w:tcW w:type="dxa" w:w="5011"/>
            <w:vAlign w:val="center"/>
            <w:shd w:fill="F3F6FA"/>
          </w:tcPr>
          <w:p>
            <w:pPr>
              <w:spacing w:after="20"/>
            </w:pPr>
            <w:r>
              <w:rPr>
                <w:sz w:val="16"/>
              </w:rPr>
              <w:t>Regression, validation, holdout; basic / multi-hop / vision / high-risk</w:t>
            </w:r>
          </w:p>
        </w:tc>
      </w:tr>
      <w:tr>
        <w:tc>
          <w:tcPr>
            <w:tcW w:type="dxa" w:w="5011"/>
          </w:tcPr>
          <w:p>
            <w:r>
              <w:rPr>
                <w:sz w:val="16"/>
              </w:rPr>
              <w:t>expected_eligibility / rule provenance</w:t>
            </w:r>
          </w:p>
        </w:tc>
        <w:tc>
          <w:tcPr>
            <w:tcW w:type="dxa" w:w="5011"/>
          </w:tcPr>
          <w:p>
            <w:r>
              <w:rPr>
                <w:sz w:val="16"/>
              </w:rPr>
              <w:t>TRUE/FALSE/UNKNOWN facts, approved rule versions, exclusion reasons, allowed next step, session version and prior immutable attempts</w:t>
            </w:r>
          </w:p>
        </w:tc>
      </w:tr>
    </w:tbl>
    <w:p>
      <w:pPr>
        <w:spacing w:after="0"/>
      </w:pPr>
    </w:p>
    <w:p>
      <w:r>
        <w:t>Suggested distribution for 50 cases: 12 direct answers; 8 multi-step feedback; 8 cross-section/table/figure; 8 photo/voice; 10 unsupported or ambiguous; 4 safety, adversarial or system-error. Rebalance after inspecting manual and avoiding synthetic evidence.</w:t>
      </w:r>
    </w:p>
    <w:p>
      <w:pPr>
        <w:pStyle w:val="Heading1"/>
      </w:pPr>
      <w:r>
        <w:rPr>
          <w:color w:val="000000"/>
        </w:rPr>
        <w:t>5  KPI contract and definitions</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trPr>
        <w:tc>
          <w:tcPr>
            <w:tcW w:type="dxa" w:w="3341"/>
            <w:shd w:fill="102238"/>
          </w:tcPr>
          <w:p>
            <w:pPr>
              <w:keepNext/>
            </w:pPr>
            <w:r>
              <w:rPr>
                <w:b/>
                <w:color w:val="FFFFFF"/>
                <w:sz w:val="16"/>
              </w:rPr>
              <w:t>KPI</w:t>
            </w:r>
          </w:p>
        </w:tc>
        <w:tc>
          <w:tcPr>
            <w:tcW w:type="dxa" w:w="3341"/>
            <w:shd w:fill="102238"/>
          </w:tcPr>
          <w:p>
            <w:r>
              <w:rPr>
                <w:b/>
                <w:color w:val="FFFFFF"/>
                <w:sz w:val="16"/>
              </w:rPr>
              <w:t>Definition</w:t>
            </w:r>
          </w:p>
        </w:tc>
        <w:tc>
          <w:tcPr>
            <w:tcW w:type="dxa" w:w="3341"/>
            <w:shd w:fill="102238"/>
          </w:tcPr>
          <w:p>
            <w:r>
              <w:rPr>
                <w:b/>
                <w:color w:val="FFFFFF"/>
                <w:sz w:val="16"/>
              </w:rPr>
              <w:t>Provisional target / owner</w:t>
            </w:r>
          </w:p>
        </w:tc>
      </w:tr>
      <w:tr>
        <w:trPr>
          <w:cantSplit/>
        </w:trPr>
        <w:tc>
          <w:tcPr>
            <w:tcW w:type="dxa" w:w="3341"/>
            <w:vAlign w:val="center"/>
          </w:tcPr>
          <w:p>
            <w:pPr>
              <w:spacing w:after="20"/>
            </w:pPr>
            <w:r>
              <w:rPr>
                <w:sz w:val="16"/>
              </w:rPr>
              <w:t>Unsupported-instruction rate</w:t>
            </w:r>
          </w:p>
        </w:tc>
        <w:tc>
          <w:tcPr>
            <w:tcW w:type="dxa" w:w="3341"/>
            <w:vAlign w:val="center"/>
          </w:tcPr>
          <w:p>
            <w:pPr>
              <w:spacing w:after="20"/>
            </w:pPr>
            <w:r>
              <w:rPr>
                <w:sz w:val="16"/>
              </w:rPr>
              <w:t>Unsupported technical steps / technical steps reviewed</w:t>
            </w:r>
          </w:p>
        </w:tc>
        <w:tc>
          <w:tcPr>
            <w:tcW w:type="dxa" w:w="3341"/>
            <w:vAlign w:val="center"/>
          </w:tcPr>
          <w:p>
            <w:pPr>
              <w:spacing w:after="20"/>
            </w:pPr>
            <w:r>
              <w:rPr>
                <w:sz w:val="16"/>
              </w:rPr>
              <w:t>0 in release suite; manually adjudicated</w:t>
            </w:r>
          </w:p>
        </w:tc>
      </w:tr>
      <w:tr>
        <w:trPr>
          <w:cantSplit/>
        </w:trPr>
        <w:tc>
          <w:tcPr>
            <w:tcW w:type="dxa" w:w="3341"/>
            <w:vAlign w:val="center"/>
            <w:shd w:fill="F3F6FA"/>
          </w:tcPr>
          <w:p>
            <w:pPr>
              <w:spacing w:after="20"/>
            </w:pPr>
            <w:r>
              <w:rPr>
                <w:sz w:val="16"/>
              </w:rPr>
              <w:t>Abstention recall</w:t>
            </w:r>
          </w:p>
        </w:tc>
        <w:tc>
          <w:tcPr>
            <w:tcW w:type="dxa" w:w="3341"/>
            <w:vAlign w:val="center"/>
            <w:shd w:fill="F3F6FA"/>
          </w:tcPr>
          <w:p>
            <w:pPr>
              <w:spacing w:after="20"/>
            </w:pPr>
            <w:r>
              <w:rPr>
                <w:sz w:val="16"/>
              </w:rPr>
              <w:t>Correctly abstained truly unsupported cases / all unsupported cases</w:t>
            </w:r>
          </w:p>
        </w:tc>
        <w:tc>
          <w:tcPr>
            <w:tcW w:type="dxa" w:w="3341"/>
            <w:vAlign w:val="center"/>
            <w:shd w:fill="F3F6FA"/>
          </w:tcPr>
          <w:p>
            <w:pPr>
              <w:spacing w:after="20"/>
            </w:pPr>
            <w:r>
              <w:rPr>
                <w:sz w:val="16"/>
              </w:rPr>
              <w:t>&gt;=95%; benchmark</w:t>
            </w:r>
          </w:p>
        </w:tc>
      </w:tr>
      <w:tr>
        <w:trPr>
          <w:cantSplit/>
        </w:trPr>
        <w:tc>
          <w:tcPr>
            <w:tcW w:type="dxa" w:w="3341"/>
            <w:vAlign w:val="center"/>
          </w:tcPr>
          <w:p>
            <w:pPr>
              <w:spacing w:after="20"/>
            </w:pPr>
            <w:r>
              <w:rPr>
                <w:sz w:val="16"/>
              </w:rPr>
              <w:t>Abstention precision</w:t>
            </w:r>
          </w:p>
        </w:tc>
        <w:tc>
          <w:tcPr>
            <w:tcW w:type="dxa" w:w="3341"/>
            <w:vAlign w:val="center"/>
          </w:tcPr>
          <w:p>
            <w:pPr>
              <w:spacing w:after="20"/>
            </w:pPr>
            <w:r>
              <w:rPr>
                <w:sz w:val="16"/>
              </w:rPr>
              <w:t>Correctly abstained unsupported cases / all unsupported abstentions</w:t>
            </w:r>
          </w:p>
        </w:tc>
        <w:tc>
          <w:tcPr>
            <w:tcW w:type="dxa" w:w="3341"/>
            <w:vAlign w:val="center"/>
          </w:tcPr>
          <w:p>
            <w:pPr>
              <w:spacing w:after="20"/>
            </w:pPr>
            <w:r>
              <w:rPr>
                <w:sz w:val="16"/>
              </w:rPr>
              <w:t>Track; avoid over-refusal</w:t>
            </w:r>
          </w:p>
        </w:tc>
      </w:tr>
      <w:tr>
        <w:trPr>
          <w:cantSplit/>
        </w:trPr>
        <w:tc>
          <w:tcPr>
            <w:tcW w:type="dxa" w:w="3341"/>
            <w:vAlign w:val="center"/>
            <w:shd w:fill="F3F6FA"/>
          </w:tcPr>
          <w:p>
            <w:pPr>
              <w:spacing w:after="20"/>
            </w:pPr>
            <w:r>
              <w:rPr>
                <w:sz w:val="16"/>
              </w:rPr>
              <w:t>Answerable coverage</w:t>
            </w:r>
          </w:p>
        </w:tc>
        <w:tc>
          <w:tcPr>
            <w:tcW w:type="dxa" w:w="3341"/>
            <w:vAlign w:val="center"/>
            <w:shd w:fill="F3F6FA"/>
          </w:tcPr>
          <w:p>
            <w:pPr>
              <w:spacing w:after="20"/>
            </w:pPr>
            <w:r>
              <w:rPr>
                <w:sz w:val="16"/>
              </w:rPr>
              <w:t>Correctly answered supported cases / all answerable cases</w:t>
            </w:r>
          </w:p>
        </w:tc>
        <w:tc>
          <w:tcPr>
            <w:tcW w:type="dxa" w:w="3341"/>
            <w:vAlign w:val="center"/>
            <w:shd w:fill="F3F6FA"/>
          </w:tcPr>
          <w:p>
            <w:pPr>
              <w:spacing w:after="20"/>
            </w:pPr>
            <w:r>
              <w:rPr>
                <w:sz w:val="16"/>
              </w:rPr>
              <w:t>&gt;=80%; benchmark</w:t>
            </w:r>
          </w:p>
        </w:tc>
      </w:tr>
      <w:tr>
        <w:trPr>
          <w:cantSplit/>
        </w:trPr>
        <w:tc>
          <w:tcPr>
            <w:tcW w:type="dxa" w:w="3341"/>
            <w:vAlign w:val="center"/>
          </w:tcPr>
          <w:p>
            <w:pPr>
              <w:spacing w:after="20"/>
            </w:pPr>
            <w:r>
              <w:rPr>
                <w:sz w:val="16"/>
              </w:rPr>
              <w:t>Complete evidence recall</w:t>
            </w:r>
          </w:p>
        </w:tc>
        <w:tc>
          <w:tcPr>
            <w:tcW w:type="dxa" w:w="3341"/>
            <w:vAlign w:val="center"/>
          </w:tcPr>
          <w:p>
            <w:pPr>
              <w:spacing w:after="20"/>
            </w:pPr>
            <w:r>
              <w:rPr>
                <w:sz w:val="16"/>
              </w:rPr>
              <w:t>Answerable cases with entire required evidence set in bundle / answerable cases</w:t>
            </w:r>
          </w:p>
        </w:tc>
        <w:tc>
          <w:tcPr>
            <w:tcW w:type="dxa" w:w="3341"/>
            <w:vAlign w:val="center"/>
          </w:tcPr>
          <w:p>
            <w:pPr>
              <w:spacing w:after="20"/>
            </w:pPr>
            <w:r>
              <w:rPr>
                <w:sz w:val="16"/>
              </w:rPr>
              <w:t>&gt;=90%; retrieval</w:t>
            </w:r>
          </w:p>
        </w:tc>
      </w:tr>
      <w:tr>
        <w:trPr>
          <w:cantSplit/>
        </w:trPr>
        <w:tc>
          <w:tcPr>
            <w:tcW w:type="dxa" w:w="3341"/>
            <w:vAlign w:val="center"/>
            <w:shd w:fill="F3F6FA"/>
          </w:tcPr>
          <w:p>
            <w:pPr>
              <w:spacing w:after="20"/>
            </w:pPr>
            <w:r>
              <w:rPr>
                <w:sz w:val="16"/>
              </w:rPr>
              <w:t>Next-step correctness</w:t>
            </w:r>
          </w:p>
        </w:tc>
        <w:tc>
          <w:tcPr>
            <w:tcW w:type="dxa" w:w="3341"/>
            <w:vAlign w:val="center"/>
            <w:shd w:fill="F3F6FA"/>
          </w:tcPr>
          <w:p>
            <w:pPr>
              <w:spacing w:after="20"/>
            </w:pPr>
            <w:r>
              <w:rPr>
                <w:sz w:val="16"/>
              </w:rPr>
              <w:t>Correct eligible next branch after typed feedback / evaluated transitions</w:t>
            </w:r>
          </w:p>
        </w:tc>
        <w:tc>
          <w:tcPr>
            <w:tcW w:type="dxa" w:w="3341"/>
            <w:vAlign w:val="center"/>
            <w:shd w:fill="F3F6FA"/>
          </w:tcPr>
          <w:p>
            <w:pPr>
              <w:spacing w:after="20"/>
            </w:pPr>
            <w:r>
              <w:rPr>
                <w:sz w:val="16"/>
              </w:rPr>
              <w:t>&gt;=95%; multi-turn</w:t>
            </w:r>
          </w:p>
        </w:tc>
      </w:tr>
      <w:tr>
        <w:trPr>
          <w:cantSplit/>
        </w:trPr>
        <w:tc>
          <w:tcPr>
            <w:tcW w:type="dxa" w:w="3341"/>
            <w:vAlign w:val="center"/>
          </w:tcPr>
          <w:p>
            <w:pPr>
              <w:spacing w:after="20"/>
            </w:pPr>
            <w:r>
              <w:rPr>
                <w:sz w:val="16"/>
              </w:rPr>
              <w:t>Repeat-step defect rate</w:t>
            </w:r>
          </w:p>
        </w:tc>
        <w:tc>
          <w:tcPr>
            <w:tcW w:type="dxa" w:w="3341"/>
            <w:vAlign w:val="center"/>
          </w:tcPr>
          <w:p>
            <w:pPr>
              <w:spacing w:after="20"/>
            </w:pPr>
            <w:r>
              <w:rPr>
                <w:sz w:val="16"/>
              </w:rPr>
              <w:t>Unjustified repeats / evaluated multi-turn next-step selections</w:t>
            </w:r>
          </w:p>
        </w:tc>
        <w:tc>
          <w:tcPr>
            <w:tcW w:type="dxa" w:w="3341"/>
            <w:vAlign w:val="center"/>
          </w:tcPr>
          <w:p>
            <w:pPr>
              <w:spacing w:after="20"/>
            </w:pPr>
            <w:r>
              <w:rPr>
                <w:sz w:val="16"/>
              </w:rPr>
              <w:t>0 in release suite</w:t>
            </w:r>
          </w:p>
        </w:tc>
      </w:tr>
      <w:tr>
        <w:trPr>
          <w:cantSplit/>
        </w:trPr>
        <w:tc>
          <w:tcPr>
            <w:tcW w:type="dxa" w:w="3341"/>
            <w:vAlign w:val="center"/>
            <w:shd w:fill="F3F6FA"/>
          </w:tcPr>
          <w:p>
            <w:pPr>
              <w:spacing w:after="20"/>
            </w:pPr>
            <w:r>
              <w:rPr>
                <w:sz w:val="16"/>
              </w:rPr>
              <w:t>Citation support rate</w:t>
            </w:r>
          </w:p>
        </w:tc>
        <w:tc>
          <w:tcPr>
            <w:tcW w:type="dxa" w:w="3341"/>
            <w:vAlign w:val="center"/>
            <w:shd w:fill="F3F6FA"/>
          </w:tcPr>
          <w:p>
            <w:pPr>
              <w:spacing w:after="20"/>
            </w:pPr>
            <w:r>
              <w:rPr>
                <w:sz w:val="16"/>
              </w:rPr>
              <w:t>Claims with correct source mapping / claims requiring citations</w:t>
            </w:r>
          </w:p>
        </w:tc>
        <w:tc>
          <w:tcPr>
            <w:tcW w:type="dxa" w:w="3341"/>
            <w:vAlign w:val="center"/>
            <w:shd w:fill="F3F6FA"/>
          </w:tcPr>
          <w:p>
            <w:pPr>
              <w:spacing w:after="20"/>
            </w:pPr>
            <w:r>
              <w:rPr>
                <w:sz w:val="16"/>
              </w:rPr>
              <w:t>&gt;=98%; human audit</w:t>
            </w:r>
          </w:p>
        </w:tc>
      </w:tr>
      <w:tr>
        <w:trPr>
          <w:cantSplit/>
        </w:trPr>
        <w:tc>
          <w:tcPr>
            <w:tcW w:type="dxa" w:w="3341"/>
            <w:vAlign w:val="center"/>
          </w:tcPr>
          <w:p>
            <w:pPr>
              <w:spacing w:after="20"/>
            </w:pPr>
            <w:r>
              <w:rPr>
                <w:sz w:val="16"/>
              </w:rPr>
              <w:t>Customer-stated task outcome</w:t>
            </w:r>
          </w:p>
        </w:tc>
        <w:tc>
          <w:tcPr>
            <w:tcW w:type="dxa" w:w="3341"/>
            <w:vAlign w:val="center"/>
          </w:tcPr>
          <w:p>
            <w:pPr>
              <w:spacing w:after="20"/>
            </w:pPr>
            <w:r>
              <w:rPr>
                <w:sz w:val="16"/>
              </w:rPr>
              <w:t>Correct documented outcome or escalation / evaluated sessions</w:t>
            </w:r>
          </w:p>
        </w:tc>
        <w:tc>
          <w:tcPr>
            <w:tcW w:type="dxa" w:w="3341"/>
            <w:vAlign w:val="center"/>
          </w:tcPr>
          <w:p>
            <w:pPr>
              <w:spacing w:after="20"/>
            </w:pPr>
            <w:r>
              <w:rPr>
                <w:sz w:val="16"/>
              </w:rPr>
              <w:t>&gt;=85% in simulated scenarios</w:t>
            </w:r>
          </w:p>
        </w:tc>
      </w:tr>
      <w:tr>
        <w:trPr>
          <w:cantSplit/>
        </w:trPr>
        <w:tc>
          <w:tcPr>
            <w:tcW w:type="dxa" w:w="3341"/>
            <w:vAlign w:val="center"/>
            <w:shd w:fill="F3F6FA"/>
          </w:tcPr>
          <w:p>
            <w:r>
              <w:rPr>
                <w:sz w:val="16"/>
              </w:rPr>
              <w:t>Latency and TTFO</w:t>
            </w:r>
          </w:p>
        </w:tc>
        <w:tc>
          <w:tcPr>
            <w:tcW w:type="dxa" w:w="3341"/>
            <w:vAlign w:val="center"/>
            <w:shd w:fill="F3F6FA"/>
          </w:tcPr>
          <w:p>
            <w:r>
              <w:rPr>
                <w:sz w:val="16"/>
              </w:rPr>
              <w:t>Confirmed input to first releasable token; stage and fast/recovery/rerank p50/p95 plus combined p95; cold/warm separate</w:t>
            </w:r>
          </w:p>
        </w:tc>
        <w:tc>
          <w:tcPr>
            <w:tcW w:type="dxa" w:w="3341"/>
            <w:vAlign w:val="center"/>
            <w:shd w:fill="F3F6FA"/>
          </w:tcPr>
          <w:p>
            <w:r>
              <w:rPr>
                <w:sz w:val="16"/>
              </w:rPr>
              <w:t>Warm text p50 &lt;=2.5s, p95 &lt;=5s; photo p95 &lt;=10s</w:t>
            </w:r>
          </w:p>
        </w:tc>
      </w:tr>
      <w:tr>
        <w:trPr>
          <w:cantSplit/>
        </w:trPr>
        <w:tc>
          <w:tcPr>
            <w:tcW w:type="dxa" w:w="3341"/>
            <w:vAlign w:val="center"/>
          </w:tcPr>
          <w:p>
            <w:pPr>
              <w:spacing w:after="20"/>
            </w:pPr>
            <w:r>
              <w:rPr>
                <w:sz w:val="16"/>
              </w:rPr>
              <w:t>Cost per correctly handled case</w:t>
            </w:r>
          </w:p>
        </w:tc>
        <w:tc>
          <w:tcPr>
            <w:tcW w:type="dxa" w:w="3341"/>
            <w:vAlign w:val="center"/>
          </w:tcPr>
          <w:p>
            <w:pPr>
              <w:spacing w:after="20"/>
            </w:pPr>
            <w:r>
              <w:rPr>
                <w:sz w:val="16"/>
              </w:rPr>
              <w:t>Total model+infra spend / gold cases handled correctly</w:t>
            </w:r>
          </w:p>
        </w:tc>
        <w:tc>
          <w:tcPr>
            <w:tcW w:type="dxa" w:w="3341"/>
            <w:vAlign w:val="center"/>
          </w:tcPr>
          <w:p>
            <w:pPr>
              <w:spacing w:after="20"/>
            </w:pPr>
            <w:r>
              <w:rPr>
                <w:sz w:val="16"/>
              </w:rPr>
              <w:t>Baseline first, optimize thereafter</w:t>
            </w:r>
          </w:p>
        </w:tc>
      </w:tr>
    </w:tbl>
    <w:p>
      <w:pPr>
        <w:spacing w:after="0"/>
      </w:pPr>
    </w:p>
    <w:p>
      <w:r>
        <w:t>Never conflate simulated “documented task completion” with real motorcycle repairs. Real-world repair success would require user follow-up or technician validation and should be explicitly labelled separately.</w:t>
      </w:r>
    </w:p>
    <w:p>
      <w:pPr>
        <w:pStyle w:val="Heading1"/>
      </w:pPr>
      <w:r>
        <w:rPr>
          <w:color w:val="000000"/>
        </w:rPr>
        <w:t>6  Observability and failure inventory</w:t>
      </w:r>
    </w:p>
    <w:p>
      <w:pPr>
        <w:pStyle w:val="ListBullet"/>
      </w:pPr>
      <w:r>
        <w:t>Each trace: trace_id, session pseudonym, manual checksum, code/model/prompt/index versions, modality, outcome, feedback, time and cost</w:t>
      </w:r>
    </w:p>
    <w:p>
      <w:pPr>
        <w:pStyle w:val="ListBullet"/>
      </w:pPr>
      <w:r>
        <w:t>Retrieval spans: policy version/config, calibration, distinct-parent uncertainty signals, recovery/rerank decisions and attempts, exact fetched/missing IDs, pair count, skip reason and stage duration.</w:t>
      </w:r>
    </w:p>
    <w:p>
      <w:pPr>
        <w:pStyle w:val="ListBullet"/>
      </w:pPr>
      <w:r>
        <w:t>Decision spans: candidate step IDs, TRUE/FALSE/UNKNOWN conditions, exclusion reason codes, rule/dependency/session versions, chosen eligible step, support verdict and claim mapping.</w:t>
      </w:r>
    </w:p>
    <w:p>
      <w:pPr>
        <w:pStyle w:val="ListBullet"/>
      </w:pPr>
      <w:r>
        <w:t>Voice/vision spans: transcript correction rate, visual observation uncertainty, STT/vision latency, provider costs</w:t>
      </w:r>
    </w:p>
    <w:p>
      <w:pPr>
        <w:pStyle w:val="ListBullet"/>
      </w:pPr>
      <w:r>
        <w:t>Failure categories: SOURCE_MISMATCH, PARSE_GAP, NO_EVIDENCE, AMBIGUOUS_OBSERVATION, EVIDENCE_CONFLICT, UNSUPPORTED_DRAFT, API_ERROR, TIMEOUT, REPEAT_STEP, INVALID_CITATION</w:t>
      </w:r>
    </w:p>
    <w:p>
      <w:pPr>
        <w:pStyle w:val="ListBullet"/>
      </w:pPr>
      <w:r>
        <w:t>Track confirmed-input TTFO, path and combined p95, cold starts, fallback frequency and cost per correctly handled case; keep raw media and secrets out of logs.</w:t>
      </w:r>
    </w:p>
    <w:p>
      <w:pPr>
        <w:pStyle w:val="Heading1"/>
      </w:pPr>
      <w:r>
        <w:rPr>
          <w:color w:val="000000"/>
        </w:rPr>
        <w:t>7  Required source inventory before build</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trPr>
        <w:tc>
          <w:tcPr>
            <w:tcW w:type="dxa" w:w="3341"/>
            <w:shd w:fill="102238"/>
          </w:tcPr>
          <w:p>
            <w:pPr>
              <w:keepNext/>
            </w:pPr>
            <w:r>
              <w:rPr>
                <w:b/>
                <w:color w:val="FFFFFF"/>
                <w:sz w:val="16"/>
              </w:rPr>
              <w:t>Input / asset</w:t>
            </w:r>
          </w:p>
        </w:tc>
        <w:tc>
          <w:tcPr>
            <w:tcW w:type="dxa" w:w="3341"/>
            <w:shd w:fill="102238"/>
          </w:tcPr>
          <w:p>
            <w:r>
              <w:rPr>
                <w:b/>
                <w:color w:val="FFFFFF"/>
                <w:sz w:val="16"/>
              </w:rPr>
              <w:t>Needed from</w:t>
            </w:r>
          </w:p>
        </w:tc>
        <w:tc>
          <w:tcPr>
            <w:tcW w:type="dxa" w:w="3341"/>
            <w:shd w:fill="102238"/>
          </w:tcPr>
          <w:p>
            <w:r>
              <w:rPr>
                <w:b/>
                <w:color w:val="FFFFFF"/>
                <w:sz w:val="16"/>
              </w:rPr>
              <w:t>Validation</w:t>
            </w:r>
          </w:p>
        </w:tc>
      </w:tr>
      <w:tr>
        <w:trPr>
          <w:cantSplit/>
        </w:trPr>
        <w:tc>
          <w:tcPr>
            <w:tcW w:type="dxa" w:w="3341"/>
            <w:vAlign w:val="center"/>
          </w:tcPr>
          <w:p>
            <w:pPr>
              <w:spacing w:after="20"/>
            </w:pPr>
            <w:r>
              <w:rPr>
                <w:sz w:val="16"/>
              </w:rPr>
              <w:t>Supplied OEM owner's manual, exact PDF edition</w:t>
            </w:r>
          </w:p>
        </w:tc>
        <w:tc>
          <w:tcPr>
            <w:tcW w:type="dxa" w:w="3341"/>
            <w:vAlign w:val="center"/>
          </w:tcPr>
          <w:p>
            <w:pPr>
              <w:spacing w:after="20"/>
            </w:pPr>
            <w:r>
              <w:rPr>
                <w:sz w:val="16"/>
              </w:rPr>
              <w:t>User</w:t>
            </w:r>
          </w:p>
        </w:tc>
        <w:tc>
          <w:tcPr>
            <w:tcW w:type="dxa" w:w="3341"/>
            <w:vAlign w:val="center"/>
          </w:tcPr>
          <w:p>
            <w:pPr>
              <w:spacing w:after="20"/>
            </w:pPr>
            <w:r>
              <w:rPr>
                <w:sz w:val="16"/>
              </w:rPr>
              <w:t>Complete readable file, model/variant, publication metadata</w:t>
            </w:r>
          </w:p>
        </w:tc>
      </w:tr>
      <w:tr>
        <w:trPr>
          <w:cantSplit/>
        </w:trPr>
        <w:tc>
          <w:tcPr>
            <w:tcW w:type="dxa" w:w="3341"/>
            <w:vAlign w:val="center"/>
            <w:shd w:fill="F3F6FA"/>
          </w:tcPr>
          <w:p>
            <w:pPr>
              <w:spacing w:after="20"/>
            </w:pPr>
            <w:r>
              <w:rPr>
                <w:sz w:val="16"/>
              </w:rPr>
              <w:t>Official model/variant and year confirmation</w:t>
            </w:r>
          </w:p>
        </w:tc>
        <w:tc>
          <w:tcPr>
            <w:tcW w:type="dxa" w:w="3341"/>
            <w:vAlign w:val="center"/>
            <w:shd w:fill="F3F6FA"/>
          </w:tcPr>
          <w:p>
            <w:pPr>
              <w:spacing w:after="20"/>
            </w:pPr>
            <w:r>
              <w:rPr>
                <w:sz w:val="16"/>
              </w:rPr>
              <w:t>User / manual</w:t>
            </w:r>
          </w:p>
        </w:tc>
        <w:tc>
          <w:tcPr>
            <w:tcW w:type="dxa" w:w="3341"/>
            <w:vAlign w:val="center"/>
            <w:shd w:fill="F3F6FA"/>
          </w:tcPr>
          <w:p>
            <w:pPr>
              <w:spacing w:after="20"/>
            </w:pPr>
            <w:r>
              <w:rPr>
                <w:sz w:val="16"/>
              </w:rPr>
              <w:t>Variant and any regional difference documented</w:t>
            </w:r>
          </w:p>
        </w:tc>
      </w:tr>
      <w:tr>
        <w:trPr>
          <w:cantSplit/>
        </w:trPr>
        <w:tc>
          <w:tcPr>
            <w:tcW w:type="dxa" w:w="3341"/>
            <w:vAlign w:val="center"/>
          </w:tcPr>
          <w:p>
            <w:pPr>
              <w:spacing w:after="20"/>
            </w:pPr>
            <w:r>
              <w:rPr>
                <w:sz w:val="16"/>
              </w:rPr>
              <w:t>Manual source URL / redistribution permissions</w:t>
            </w:r>
          </w:p>
        </w:tc>
        <w:tc>
          <w:tcPr>
            <w:tcW w:type="dxa" w:w="3341"/>
            <w:vAlign w:val="center"/>
          </w:tcPr>
          <w:p>
            <w:pPr>
              <w:spacing w:after="20"/>
            </w:pPr>
            <w:r>
              <w:rPr>
                <w:sz w:val="16"/>
              </w:rPr>
              <w:t>OEM portal</w:t>
            </w:r>
          </w:p>
        </w:tc>
        <w:tc>
          <w:tcPr>
            <w:tcW w:type="dxa" w:w="3341"/>
            <w:vAlign w:val="center"/>
          </w:tcPr>
          <w:p>
            <w:pPr>
              <w:spacing w:after="20"/>
            </w:pPr>
            <w:r>
              <w:rPr>
                <w:sz w:val="16"/>
              </w:rPr>
              <w:t>Permitted hosting, excerpts and public demo usage</w:t>
            </w:r>
          </w:p>
        </w:tc>
      </w:tr>
      <w:tr>
        <w:trPr>
          <w:cantSplit/>
        </w:trPr>
        <w:tc>
          <w:tcPr>
            <w:tcW w:type="dxa" w:w="3341"/>
            <w:vAlign w:val="center"/>
            <w:shd w:fill="F3F6FA"/>
          </w:tcPr>
          <w:p>
            <w:pPr>
              <w:spacing w:after="20"/>
            </w:pPr>
            <w:r>
              <w:rPr>
                <w:sz w:val="16"/>
              </w:rPr>
              <w:t>Official OEM service/contact URL</w:t>
            </w:r>
          </w:p>
        </w:tc>
        <w:tc>
          <w:tcPr>
            <w:tcW w:type="dxa" w:w="3341"/>
            <w:vAlign w:val="center"/>
            <w:shd w:fill="F3F6FA"/>
          </w:tcPr>
          <w:p>
            <w:pPr>
              <w:spacing w:after="20"/>
            </w:pPr>
            <w:r>
              <w:rPr>
                <w:sz w:val="16"/>
              </w:rPr>
              <w:t>OEM site</w:t>
            </w:r>
          </w:p>
        </w:tc>
        <w:tc>
          <w:tcPr>
            <w:tcW w:type="dxa" w:w="3341"/>
            <w:vAlign w:val="center"/>
            <w:shd w:fill="F3F6FA"/>
          </w:tcPr>
          <w:p>
            <w:pPr>
              <w:spacing w:after="20"/>
            </w:pPr>
            <w:r>
              <w:rPr>
                <w:sz w:val="16"/>
              </w:rPr>
              <w:t>Current and relevant for market / variant</w:t>
            </w:r>
          </w:p>
        </w:tc>
      </w:tr>
      <w:tr>
        <w:trPr>
          <w:cantSplit/>
        </w:trPr>
        <w:tc>
          <w:tcPr>
            <w:tcW w:type="dxa" w:w="3341"/>
            <w:vAlign w:val="center"/>
          </w:tcPr>
          <w:p>
            <w:pPr>
              <w:spacing w:after="20"/>
            </w:pPr>
            <w:r>
              <w:rPr>
                <w:sz w:val="16"/>
              </w:rPr>
              <w:t>Sample bike photos, if used in demo</w:t>
            </w:r>
          </w:p>
        </w:tc>
        <w:tc>
          <w:tcPr>
            <w:tcW w:type="dxa" w:w="3341"/>
            <w:vAlign w:val="center"/>
          </w:tcPr>
          <w:p>
            <w:pPr>
              <w:spacing w:after="20"/>
            </w:pPr>
            <w:r>
              <w:rPr>
                <w:sz w:val="16"/>
              </w:rPr>
              <w:t>Licensed/consented collection</w:t>
            </w:r>
          </w:p>
        </w:tc>
        <w:tc>
          <w:tcPr>
            <w:tcW w:type="dxa" w:w="3341"/>
            <w:vAlign w:val="center"/>
          </w:tcPr>
          <w:p>
            <w:pPr>
              <w:spacing w:after="20"/>
            </w:pPr>
            <w:r>
              <w:rPr>
                <w:sz w:val="16"/>
              </w:rPr>
              <w:t>Relevant annotations and no exposed identifiers</w:t>
            </w:r>
          </w:p>
        </w:tc>
      </w:tr>
      <w:tr>
        <w:trPr>
          <w:cantSplit/>
        </w:trPr>
        <w:tc>
          <w:tcPr>
            <w:tcW w:type="dxa" w:w="3341"/>
            <w:vAlign w:val="center"/>
            <w:shd w:fill="F3F6FA"/>
          </w:tcPr>
          <w:p>
            <w:r>
              <w:rPr>
                <w:sz w:val="16"/>
              </w:rPr>
              <w:t>API keys and cost budget</w:t>
            </w:r>
          </w:p>
        </w:tc>
        <w:tc>
          <w:tcPr>
            <w:tcW w:type="dxa" w:w="3341"/>
            <w:vAlign w:val="center"/>
            <w:shd w:fill="F3F6FA"/>
          </w:tcPr>
          <w:p>
            <w:r>
              <w:rPr>
                <w:sz w:val="16"/>
              </w:rPr>
              <w:t>Developer / authorized GCP project</w:t>
            </w:r>
          </w:p>
        </w:tc>
        <w:tc>
          <w:tcPr>
            <w:tcW w:type="dxa" w:w="3341"/>
            <w:vAlign w:val="center"/>
            <w:shd w:fill="F3F6FA"/>
          </w:tcPr>
          <w:p>
            <w:r>
              <w:rPr>
                <w:sz w:val="16"/>
              </w:rPr>
              <w:t>Server secrets; INR800 lifetime budget and live stop INR640; per-day/UI limits pending</w:t>
            </w:r>
          </w:p>
        </w:tc>
      </w:tr>
      <w:tr>
        <w:trPr>
          <w:cantSplit/>
        </w:trPr>
        <w:tc>
          <w:tcPr>
            <w:tcW w:type="dxa" w:w="3341"/>
            <w:vAlign w:val="center"/>
          </w:tcPr>
          <w:p>
            <w:pPr>
              <w:spacing w:after="20"/>
            </w:pPr>
            <w:r>
              <w:rPr>
                <w:sz w:val="16"/>
              </w:rPr>
              <w:t>Public demo deployment account</w:t>
            </w:r>
          </w:p>
        </w:tc>
        <w:tc>
          <w:tcPr>
            <w:tcW w:type="dxa" w:w="3341"/>
            <w:vAlign w:val="center"/>
          </w:tcPr>
          <w:p>
            <w:pPr>
              <w:spacing w:after="20"/>
            </w:pPr>
            <w:r>
              <w:rPr>
                <w:sz w:val="16"/>
              </w:rPr>
              <w:t>Developer</w:t>
            </w:r>
          </w:p>
        </w:tc>
        <w:tc>
          <w:tcPr>
            <w:tcW w:type="dxa" w:w="3341"/>
            <w:vAlign w:val="center"/>
          </w:tcPr>
          <w:p>
            <w:pPr>
              <w:spacing w:after="20"/>
            </w:pPr>
            <w:r>
              <w:rPr>
                <w:sz w:val="16"/>
              </w:rPr>
              <w:t>External URL, rate-limit control, awake/cold start check</w:t>
            </w:r>
          </w:p>
        </w:tc>
      </w:tr>
      <w:tr>
        <w:trPr>
          <w:cantSplit/>
        </w:trPr>
        <w:tc>
          <w:tcPr>
            <w:tcW w:type="dxa" w:w="3341"/>
            <w:vAlign w:val="center"/>
            <w:shd w:fill="F3F6FA"/>
          </w:tcPr>
          <w:p>
            <w:pPr>
              <w:spacing w:after="20"/>
            </w:pPr>
            <w:r>
              <w:rPr>
                <w:sz w:val="16"/>
              </w:rPr>
              <w:t>Review and scoring rubric</w:t>
            </w:r>
          </w:p>
        </w:tc>
        <w:tc>
          <w:tcPr>
            <w:tcW w:type="dxa" w:w="3341"/>
            <w:vAlign w:val="center"/>
            <w:shd w:fill="F3F6FA"/>
          </w:tcPr>
          <w:p>
            <w:pPr>
              <w:spacing w:after="20"/>
            </w:pPr>
            <w:r>
              <w:rPr>
                <w:sz w:val="16"/>
              </w:rPr>
              <w:t>Project owner</w:t>
            </w:r>
          </w:p>
        </w:tc>
        <w:tc>
          <w:tcPr>
            <w:tcW w:type="dxa" w:w="3341"/>
            <w:vAlign w:val="center"/>
            <w:shd w:fill="F3F6FA"/>
          </w:tcPr>
          <w:p>
            <w:pPr>
              <w:spacing w:after="20"/>
            </w:pPr>
            <w:r>
              <w:rPr>
                <w:sz w:val="16"/>
              </w:rPr>
              <w:t>Correctness standard and versioned adjudication notes</w:t>
            </w:r>
          </w:p>
        </w:tc>
      </w:tr>
    </w:tbl>
    <w:p>
      <w:pPr>
        <w:spacing w:after="0"/>
      </w:pPr>
    </w:p>
    <w:p>
      <w:pPr>
        <w:pStyle w:val="Heading1"/>
      </w:pPr>
      <w:r>
        <w:rPr>
          <w:color w:val="000000"/>
        </w:rPr>
        <w:t>8  Weekend-oriented implementation workplan</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trPr>
        <w:tc>
          <w:tcPr>
            <w:tcW w:type="dxa" w:w="3341"/>
            <w:shd w:fill="102238"/>
          </w:tcPr>
          <w:p>
            <w:pPr>
              <w:keepNext/>
            </w:pPr>
            <w:r>
              <w:rPr>
                <w:b/>
                <w:color w:val="FFFFFF"/>
                <w:sz w:val="16"/>
              </w:rPr>
              <w:t>Phase</w:t>
            </w:r>
          </w:p>
        </w:tc>
        <w:tc>
          <w:tcPr>
            <w:tcW w:type="dxa" w:w="3341"/>
            <w:shd w:fill="102238"/>
          </w:tcPr>
          <w:p>
            <w:r>
              <w:rPr>
                <w:b/>
                <w:color w:val="FFFFFF"/>
                <w:sz w:val="16"/>
              </w:rPr>
              <w:t>Tasks</w:t>
            </w:r>
          </w:p>
        </w:tc>
        <w:tc>
          <w:tcPr>
            <w:tcW w:type="dxa" w:w="3341"/>
            <w:shd w:fill="102238"/>
          </w:tcPr>
          <w:p>
            <w:r>
              <w:rPr>
                <w:b/>
                <w:color w:val="FFFFFF"/>
                <w:sz w:val="16"/>
              </w:rPr>
              <w:t>Exit gate</w:t>
            </w:r>
          </w:p>
        </w:tc>
      </w:tr>
      <w:tr>
        <w:trPr>
          <w:cantSplit/>
        </w:trPr>
        <w:tc>
          <w:tcPr>
            <w:tcW w:type="dxa" w:w="3341"/>
            <w:vAlign w:val="center"/>
          </w:tcPr>
          <w:p>
            <w:r>
              <w:rPr>
                <w:sz w:val="16"/>
              </w:rPr>
              <w:t>A: Manual audit</w:t>
            </w:r>
          </w:p>
        </w:tc>
        <w:tc>
          <w:tcPr>
            <w:tcW w:type="dxa" w:w="3341"/>
            <w:vAlign w:val="center"/>
          </w:tcPr>
          <w:p>
            <w:r>
              <w:rPr>
                <w:sz w:val="16"/>
              </w:rPr>
              <w:t>Exact manual supplied; checksum verified; review difficult pages and dependencies; confirm metadata/rights/support</w:t>
            </w:r>
          </w:p>
        </w:tc>
        <w:tc>
          <w:tcPr>
            <w:tcW w:type="dxa" w:w="3341"/>
            <w:vAlign w:val="center"/>
          </w:tcPr>
          <w:p>
            <w:r>
              <w:rPr>
                <w:sz w:val="16"/>
              </w:rPr>
              <w:t>Confirmed manifest and ten reviewed seed questions; remaining fields still open</w:t>
            </w:r>
          </w:p>
        </w:tc>
      </w:tr>
      <w:tr>
        <w:trPr>
          <w:cantSplit/>
        </w:trPr>
        <w:tc>
          <w:tcPr>
            <w:tcW w:type="dxa" w:w="3341"/>
            <w:vAlign w:val="center"/>
            <w:shd w:fill="F3F6FA"/>
          </w:tcPr>
          <w:p>
            <w:r>
              <w:rPr>
                <w:sz w:val="16"/>
              </w:rPr>
              <w:t>B: Index and grounding</w:t>
            </w:r>
          </w:p>
        </w:tc>
        <w:tc>
          <w:tcPr>
            <w:tcW w:type="dxa" w:w="3341"/>
            <w:vAlign w:val="center"/>
            <w:shd w:fill="F3F6FA"/>
          </w:tcPr>
          <w:p>
            <w:r>
              <w:rPr>
                <w:sz w:val="16"/>
              </w:rPr>
              <w:t>Hosted candidate index built; approve procedure/step dependencies and test applicable factual answers</w:t>
            </w:r>
          </w:p>
        </w:tc>
        <w:tc>
          <w:tcPr>
            <w:tcW w:type="dxa" w:w="3341"/>
            <w:vAlign w:val="center"/>
            <w:shd w:fill="F3F6FA"/>
          </w:tcPr>
          <w:p>
            <w:r>
              <w:rPr>
                <w:sz w:val="16"/>
              </w:rPr>
              <w:t>Five independently reviewed direct questions return source-linked answers or justified routes</w:t>
            </w:r>
          </w:p>
        </w:tc>
      </w:tr>
      <w:tr>
        <w:trPr>
          <w:cantSplit/>
        </w:trPr>
        <w:tc>
          <w:tcPr>
            <w:tcW w:type="dxa" w:w="3341"/>
            <w:vAlign w:val="center"/>
          </w:tcPr>
          <w:p>
            <w:r>
              <w:rPr>
                <w:sz w:val="16"/>
              </w:rPr>
              <w:t>C: Stateful troubleshooting</w:t>
            </w:r>
          </w:p>
        </w:tc>
        <w:tc>
          <w:tcPr>
            <w:tcW w:type="dxa" w:w="3341"/>
            <w:vAlign w:val="center"/>
          </w:tcPr>
          <w:p>
            <w:r>
              <w:rPr>
                <w:sz w:val="16"/>
              </w:rPr>
              <w:t>Prototype exists; integrate approved rules, three-valued eligibility and immutable attempt store</w:t>
            </w:r>
          </w:p>
        </w:tc>
        <w:tc>
          <w:tcPr>
            <w:tcW w:type="dxa" w:w="3341"/>
            <w:vAlign w:val="center"/>
          </w:tcPr>
          <w:p>
            <w:r>
              <w:rPr>
                <w:sz w:val="16"/>
              </w:rPr>
              <w:t>Three reviewed multi-turn cases correctly advance, clarify or escalate without unjustified repeats</w:t>
            </w:r>
          </w:p>
        </w:tc>
      </w:tr>
      <w:tr>
        <w:tc>
          <w:tcPr>
            <w:tcW w:type="dxa" w:w="3341"/>
          </w:tcPr>
          <w:p>
            <w:r>
              <w:rPr>
                <w:sz w:val="16"/>
              </w:rPr>
              <w:t>C2: Guardrails and cache</w:t>
            </w:r>
          </w:p>
        </w:tc>
        <w:tc>
          <w:tcPr>
            <w:tcW w:type="dxa" w:w="3341"/>
          </w:tcPr>
          <w:p>
            <w:r>
              <w:rPr>
                <w:sz w:val="16"/>
              </w:rPr>
              <w:t>Integrate applicability/evidence/safety/claim gates, exact-cache approval and invalidation, injection/privacy/failure checks</w:t>
            </w:r>
          </w:p>
        </w:tc>
        <w:tc>
          <w:tcPr>
            <w:tcW w:type="dxa" w:w="3341"/>
          </w:tcPr>
          <w:p>
            <w:r>
              <w:rPr>
                <w:sz w:val="16"/>
              </w:rPr>
              <w:t>Reviewed paths hit exactly; draft/stale/mismatched paths miss; safety regressions pass</w:t>
            </w:r>
          </w:p>
        </w:tc>
      </w:tr>
      <w:tr>
        <w:trPr>
          <w:cantSplit/>
        </w:trPr>
        <w:tc>
          <w:tcPr>
            <w:tcW w:type="dxa" w:w="3341"/>
            <w:vAlign w:val="center"/>
            <w:shd w:fill="F3F6FA"/>
          </w:tcPr>
          <w:p>
            <w:r>
              <w:rPr>
                <w:sz w:val="16"/>
              </w:rPr>
              <w:t>D: Multimodal and sharing</w:t>
            </w:r>
          </w:p>
        </w:tc>
        <w:tc>
          <w:tcPr>
            <w:tcW w:type="dxa" w:w="3341"/>
            <w:vAlign w:val="center"/>
            <w:shd w:fill="F3F6FA"/>
          </w:tcPr>
          <w:p>
            <w:r>
              <w:rPr>
                <w:sz w:val="16"/>
              </w:rPr>
              <w:t>Observation-only photo path, Streamlit UI, secrets and upload/rate/day-spend limits; optional voice P1</w:t>
            </w:r>
          </w:p>
        </w:tc>
        <w:tc>
          <w:tcPr>
            <w:tcW w:type="dxa" w:w="3341"/>
            <w:vAlign w:val="center"/>
            <w:shd w:fill="F3F6FA"/>
          </w:tcPr>
          <w:p>
            <w:r>
              <w:rPr>
                <w:sz w:val="16"/>
              </w:rPr>
              <w:t>Fresh logged-out browser at shareable URL passes text, follow-up, photo, abstention and error tests</w:t>
            </w:r>
          </w:p>
        </w:tc>
      </w:tr>
      <w:tr>
        <w:trPr>
          <w:cantSplit/>
        </w:trPr>
        <w:tc>
          <w:tcPr>
            <w:tcW w:type="dxa" w:w="3341"/>
            <w:vAlign w:val="center"/>
          </w:tcPr>
          <w:p>
            <w:pPr>
              <w:spacing w:after="20"/>
            </w:pPr>
            <w:r>
              <w:rPr>
                <w:sz w:val="16"/>
              </w:rPr>
              <w:t>E: Evaluation + tuning</w:t>
            </w:r>
          </w:p>
        </w:tc>
        <w:tc>
          <w:tcPr>
            <w:tcW w:type="dxa" w:w="3341"/>
            <w:vAlign w:val="center"/>
          </w:tcPr>
          <w:p>
            <w:pPr>
              <w:spacing w:after="20"/>
            </w:pPr>
            <w:r>
              <w:rPr>
                <w:sz w:val="16"/>
              </w:rPr>
              <w:t>Annotate &gt;=25 gold cases; tests for unsupported and multi-hop; ablations</w:t>
            </w:r>
          </w:p>
        </w:tc>
        <w:tc>
          <w:tcPr>
            <w:tcW w:type="dxa" w:w="3341"/>
            <w:vAlign w:val="center"/>
          </w:tcPr>
          <w:p>
            <w:pPr>
              <w:spacing w:after="20"/>
            </w:pPr>
            <w:r>
              <w:rPr>
                <w:sz w:val="16"/>
              </w:rPr>
              <w:t>Release gate report with actual results</w:t>
            </w:r>
          </w:p>
        </w:tc>
      </w:tr>
      <w:tr>
        <w:trPr>
          <w:cantSplit/>
        </w:trPr>
        <w:tc>
          <w:tcPr>
            <w:tcW w:type="dxa" w:w="3341"/>
            <w:vAlign w:val="center"/>
            <w:shd w:fill="F3F6FA"/>
          </w:tcPr>
          <w:p>
            <w:pPr>
              <w:spacing w:after="20"/>
            </w:pPr>
            <w:r>
              <w:rPr>
                <w:sz w:val="16"/>
              </w:rPr>
              <w:t>F: Handover</w:t>
            </w:r>
          </w:p>
        </w:tc>
        <w:tc>
          <w:tcPr>
            <w:tcW w:type="dxa" w:w="3341"/>
            <w:vAlign w:val="center"/>
            <w:shd w:fill="F3F6FA"/>
          </w:tcPr>
          <w:p>
            <w:pPr>
              <w:spacing w:after="20"/>
            </w:pPr>
            <w:r>
              <w:rPr>
                <w:sz w:val="16"/>
              </w:rPr>
              <w:t>README, demo script, limitations, rollback, license check</w:t>
            </w:r>
          </w:p>
        </w:tc>
        <w:tc>
          <w:tcPr>
            <w:tcW w:type="dxa" w:w="3341"/>
            <w:vAlign w:val="center"/>
            <w:shd w:fill="F3F6FA"/>
          </w:tcPr>
          <w:p>
            <w:pPr>
              <w:spacing w:after="20"/>
            </w:pPr>
            <w:r>
              <w:rPr>
                <w:sz w:val="16"/>
              </w:rPr>
              <w:t>Reviewer can reproduce use cases from URL</w:t>
            </w:r>
          </w:p>
        </w:tc>
      </w:tr>
    </w:tbl>
    <w:p>
      <w:pPr>
        <w:spacing w:after="0"/>
      </w:pPr>
    </w:p>
    <w:p>
      <w:pPr>
        <w:pStyle w:val="Heading1"/>
      </w:pPr>
      <w:r>
        <w:rPr>
          <w:color w:val="000000"/>
        </w:rPr>
        <w:t>9  Release check and demo script</w:t>
      </w:r>
    </w:p>
    <w:p>
      <w:pPr>
        <w:pStyle w:val="ListNumber"/>
      </w:pPr>
      <w:r>
        <w:t>Open a new browser in a logged-out session; verify app URL and model/manual version banner</w:t>
      </w:r>
    </w:p>
    <w:p>
      <w:pPr>
        <w:pStyle w:val="ListNumber"/>
      </w:pPr>
      <w:r>
        <w:t>Ask an answerable manual question and inspect exact cited page; follow up “I checked; it was normal” and show different eligible next step</w:t>
      </w:r>
    </w:p>
    <w:p>
      <w:pPr>
        <w:pStyle w:val="ListNumber"/>
      </w:pPr>
      <w:r>
        <w:t>Try “I did that; it still does not work” to prove no false assumption and no looping</w:t>
      </w:r>
    </w:p>
    <w:p>
      <w:pPr>
        <w:pStyle w:val="ListNumber"/>
      </w:pPr>
      <w:r>
        <w:t>Upload a relevant photo; show visible-observation extraction, uncertainty and source lookup</w:t>
      </w:r>
    </w:p>
    <w:p>
      <w:pPr>
        <w:pStyle w:val="ListNumber"/>
      </w:pPr>
      <w:r>
        <w:t>Ask for an undocumented repair; show justified abstention and verified OEM escalation</w:t>
      </w:r>
    </w:p>
    <w:p>
      <w:pPr>
        <w:pStyle w:val="ListNumber"/>
      </w:pPr>
      <w:r>
        <w:t>Simulate retrieval failure; demonstrate SYSTEM_ERROR differs from “not documented”</w:t>
      </w:r>
    </w:p>
    <w:p>
      <w:pPr>
        <w:pStyle w:val="ListNumber"/>
      </w:pPr>
      <w:r>
        <w:t>Show evaluation table and representative trace; demonstrate at least one tracked improvement or deliberate trade-off</w:t>
      </w:r>
    </w:p>
    <w:p>
      <w:pPr>
        <w:pStyle w:val="Heading1"/>
      </w:pPr>
      <w:r>
        <w:rPr>
          <w:color w:val="000000"/>
        </w:rPr>
        <w:t>10  Known limitations and honest claims</w:t>
      </w:r>
    </w:p>
    <w:p>
      <w:pPr>
        <w:pStyle w:val="ListBullet"/>
      </w:pPr>
      <w:r>
        <w:t>The owner manual supports a provisional source-checked corpus; independent review, variant confirmation and held-out evaluation are still required before performance claims</w:t>
      </w:r>
    </w:p>
    <w:p>
      <w:pPr>
        <w:pStyle w:val="ListBullet"/>
      </w:pPr>
      <w:r>
        <w:t>App logic can fail closed, but semantic sufficiency classifiers and visual interpretations remain probabilistic</w:t>
      </w:r>
    </w:p>
    <w:p>
      <w:pPr>
        <w:pStyle w:val="ListBullet"/>
      </w:pPr>
      <w:r>
        <w:t>If OEM documentation is incomplete, the correct system behavior may be escalation rather than further instructions</w:t>
      </w:r>
    </w:p>
    <w:p>
      <w:pPr>
        <w:pStyle w:val="ListBullet"/>
      </w:pPr>
      <w:r>
        <w:t>A polished hosted demo is necessary, but it does not establish production readiness, field safety or verified repair success</w:t>
      </w:r>
    </w:p>
    <w:p>
      <w:pPr>
        <w:pStyle w:val="Heading1"/>
      </w:pPr>
      <w:r>
        <w:rPr>
          <w:color w:val="000000"/>
        </w:rPr>
        <w:t>11  Guardrail implementation checklist</w:t>
      </w:r>
    </w:p>
    <w:p>
      <w:pPr>
        <w:pStyle w:val="ListBullet"/>
      </w:pPr>
      <w:r>
        <w:t>G-01  Lock source checksum, manual edition and confirmed bike variant in each session; reject mismatches before retrieval or cached-answer lookup.</w:t>
      </w:r>
    </w:p>
    <w:p>
      <w:pPr>
        <w:pStyle w:val="ListBullet"/>
      </w:pPr>
      <w:r>
        <w:t>G-02  Check extraction completeness for warnings, prerequisites, table headers/units and figure references; send uncertain pages to manual review.</w:t>
      </w:r>
    </w:p>
    <w:p>
      <w:pPr>
        <w:pStyle w:val="ListBullet"/>
      </w:pPr>
      <w:r>
        <w:t>G-03  Require approved StepDefinition/ApplicabilityRule predicates and a complete reviewed dependency manifest, then deterministic and semantic claim checks; source gaps block and enter review.</w:t>
      </w:r>
    </w:p>
    <w:p>
      <w:pPr>
        <w:pStyle w:val="ListBullet"/>
      </w:pPr>
      <w:r>
        <w:t>G-04  Implement TRUE/FALSE/UNKNOWN eligibility, immutable superseding corrections, typed outcomes and no unjustified repetition; prefer explicit OEM order without inventing one.</w:t>
      </w:r>
    </w:p>
    <w:p>
      <w:pPr>
        <w:pStyle w:val="ListBullet"/>
      </w:pPr>
      <w:r>
        <w:t>G-05  Keep SUPPORTED, AMBIGUOUS, UNSUPPORTED, SAFETY_STOP and SYSTEM_ERROR distinct; preserve verified safety-stop precedence; source review is not rider-resolvable.</w:t>
      </w:r>
    </w:p>
    <w:p>
      <w:pPr>
        <w:pStyle w:val="ListBullet"/>
      </w:pPr>
      <w:r>
        <w:t>G-06  Test prompt injection in user text, uploaded images and the manual; none may override source or safety rules.</w:t>
      </w:r>
    </w:p>
    <w:p>
      <w:pPr>
        <w:pStyle w:val="ListBullet"/>
      </w:pPr>
      <w:r>
        <w:t>G-07  Compile approved golden dialogue prefixes and terminal answers into exact-match cache keys containing manual checksum, variant, flow and policy version; fail closed on stale or draft entries.</w:t>
      </w:r>
    </w:p>
    <w:p>
      <w:pPr>
        <w:pStyle w:val="ListBullet"/>
      </w:pPr>
      <w:r>
        <w:t>G-08  Keep raw media out of ordinary logs, store keys server-side, and set file, rate and spend limits before a public demo.</w:t>
      </w:r>
    </w:p>
    <w:p>
      <w:pPr>
        <w:pStyle w:val="ListBullet"/>
      </w:pPr>
      <w:r>
        <w:t>G-09  Add regression cases for wrong variant, missing warning, ambiguous visual, invalid citation, retrieval outage, exhausted paths and cache mismatch; require a review sign-off before release.</w:t>
      </w:r>
    </w:p>
    <w:p>
      <w:pPr>
        <w:pStyle w:val="Heading1"/>
      </w:pPr>
      <w:r>
        <w:rPr>
          <w:color w:val="000000"/>
        </w:rPr>
        <w:t>Reference documentation</w:t>
      </w:r>
    </w:p>
    <w:p>
      <w:pPr>
        <w:pStyle w:val="ListBullet"/>
      </w:pPr>
      <w:r>
        <w:rPr>
          <w:b/>
        </w:rPr>
        <w:t xml:space="preserve">Docling hierarchical and hybrid chunking: </w:t>
      </w:r>
      <w:r>
        <w:rPr>
          <w:sz w:val="16"/>
        </w:rPr>
        <w:t>https://docling-project.github.io/docling/concepts/chunking/</w:t>
      </w:r>
    </w:p>
    <w:p>
      <w:pPr>
        <w:pStyle w:val="ListBullet"/>
      </w:pPr>
      <w:r>
        <w:rPr>
          <w:b/>
        </w:rPr>
        <w:t xml:space="preserve">Qdrant hybrid and multi-stage search: </w:t>
      </w:r>
      <w:r>
        <w:rPr>
          <w:sz w:val="16"/>
        </w:rPr>
        <w:t>https://qdrant.tech/documentation/search/hybrid-queries/</w:t>
      </w:r>
    </w:p>
    <w:p>
      <w:pPr>
        <w:pStyle w:val="ListBullet"/>
      </w:pPr>
      <w:r>
        <w:rPr>
          <w:b/>
        </w:rPr>
        <w:t xml:space="preserve">Google Research: sufficient context for RAG: </w:t>
      </w:r>
      <w:r>
        <w:rPr>
          <w:sz w:val="16"/>
        </w:rPr>
        <w:t>https://research.google/blog/deeper-insights-into-retrieval-augmented-generation-the-role-of-sufficient-context/</w:t>
      </w:r>
    </w:p>
    <w:p>
      <w:pPr>
        <w:pStyle w:val="ListBullet"/>
      </w:pPr>
      <w:r>
        <w:rPr>
          <w:b/>
        </w:rPr>
        <w:t xml:space="preserve">Streamlit Community Cloud deployment: </w:t>
      </w:r>
      <w:r>
        <w:rPr>
          <w:sz w:val="16"/>
        </w:rPr>
        <w:t>https://docs.streamlit.io/deploy/streamlit-community-cloud/deploy-your-app/deploy</w:t>
      </w:r>
    </w:p>
    <w:p>
      <w:pPr>
        <w:pStyle w:val="ListBullet"/>
      </w:pPr>
      <w:r>
        <w:rPr>
          <w:b/>
        </w:rPr>
        <w:t xml:space="preserve">Sarvam streaming speech-to-text: </w:t>
      </w:r>
      <w:r>
        <w:rPr>
          <w:sz w:val="16"/>
        </w:rPr>
        <w:t>https://docs.sarvam.ai/api/api-guides-tutorials/speech-to-text/streaming-api</w:t>
      </w:r>
    </w:p>
    <w:p>
      <w:pPr>
        <w:pStyle w:val="ListBullet"/>
      </w:pPr>
      <w:r>
        <w:rPr>
          <w:b/>
        </w:rPr>
        <w:t xml:space="preserve">Langfuse evaluation datasets: </w:t>
      </w:r>
      <w:r>
        <w:rPr>
          <w:sz w:val="16"/>
        </w:rPr>
        <w:t>https://langfuse.com/docs/evaluation/experiments/datasets</w:t>
      </w:r>
    </w:p>
    <w:p>
      <w:pPr>
        <w:pStyle w:val="Heading1"/>
      </w:pPr>
      <w:r>
        <w:rPr>
          <w:color w:val="000000"/>
        </w:rPr>
        <w:t>Current hosted status and bounded policy</w:t>
      </w:r>
    </w:p>
    <w:p>
      <w:r>
        <w:t>Hosted ingestion and embedding comparisons are complete. The selected BGE M3 index index_a3282c4d98cf54595e4ba168 has 532 search chunks and 277 section parents at a 1,024-token budget. Authenticated Cloud Run Qdrant serves immutable vectors from private Cloud Storage with min zero and max one instance; cold starts restore vectors without reparsing or re-embedding. The recorded backend smoke report passes 11/11 checks. Rider UI, integrated eligibility controller and gated generator remain pending; may_generate_procedural_advice stays false.</w:t>
      </w:r>
    </w:p>
    <w:p>
      <w:r>
        <w:t>Section parents are contextual candidates. Independent review must establish procedure boundaries and approve StepDefinition, ApplicabilityRule and per-step dependency manifests against the original pages. A missing, empty, stale or unapproved dependency set cannot establish sufficiency. PDF page 103 has a flagged whole-page text/image fallback after Docling omission. Confirm year, market, variant, edition, source URL, display/hosting rights and the OEM service route before public advice.</w:t>
      </w:r>
    </w:p>
    <w:p>
      <w:r>
        <w:t>Use dense cosine retrieval plus BM25 and RRF, initial parent/dependency assembly, source and applicability checks, at most one exact-ID recovery for approved missing dependencies, and at most one conditional cross-encoder attempt for uncertain ordering. Reassemble while retaining mandatory evidence. Missing review must not trigger reranking. Conditional is the normal policy; off and always_diagnostic are ablations. Current unreviewed bundles skip reranking and block technical generation.</w:t>
      </w:r>
    </w:p>
    <w:p>
      <w:r>
        <w:t>Provisional retrieval bounds are fused pool 20, five assembled hits, recovery pool 40, rerank pool 20, 100 query/passage pairs and 256 mandatory dependency IDs. More than 256 dependencies yields SYSTEM_ERROR without truncation. Distinct-parent top-three overlap below 0.5 or relative RRF margin at most 0.05 are PROVISIONAL_UNCALIBRATED. Zero BM25 matches provide no agreement signal. Queries beyond the current cross-encoder 128-token bound skip inference with an explicit reason and retain full input. Independently reviewed calibration and held-out evaluation remain required.</w:t>
      </w:r>
    </w:p>
    <w:p>
      <w:r>
        <w:t>Measure warm text p50 &lt;=2.5 seconds and p95 &lt;=5 seconds, photo p95 &lt;=10 seconds, with cold starts separate. TTFO runs from confirmed input to the first releasable answer token; loading indicators do not count and technical tokens remain withheld until validation. Report fast, recovery/rerank and combined p95, fallback frequency, stage failures and cost per correctly handled case.</w:t>
      </w:r>
    </w:p>
    <w:p>
      <w:r>
        <w:t>Exact reviewed paths are keyed by manual checksum, confirmed variant, intent/relevant symptoms, typed outcomes, flow/controller and policy versions, with prompt and approval dependencies. Draft, stale and mismatched entries miss closed. Changes to rules, review, dependencies or policy invalidate affected cache entries and cases. Manual checksum, parser/chunker or embedding changes create a new index version; unchanged document vectors are reused for retrieval-policy changes.</w:t>
      </w:r>
    </w:p>
    <w:p>
      <w:r>
        <w:t>The authorized private repository is Maneshwar-Kumar/motomedic-ai and the GCP project is motomedic-ai-20261009, under a US$10 project limit. The non-recurring INR800 budget starts 9 October 2026, alerts at INR400/640/800 and uses a simulation-checked live billing-disconnect guard at INR640 with retry delivery. Delayed reporting prevents an instantaneous exact cap. Do not re-enable billing after a real budget stop without owner authorization. Add per-user rate, upload and per-day spend limits before the public UI.</w:t>
      </w:r>
    </w:p>
    <w:p>
      <w:pPr>
        <w:pStyle w:val="Heading1"/>
      </w:pPr>
      <w:r>
        <w:rPr>
          <w:color w:val="000000"/>
        </w:rPr>
        <w:t>Reconciliation change record 9 October 2026</w:t>
      </w:r>
    </w:p>
    <w:p>
      <w:r>
        <w:t>These changes reconcile earlier planning language with TRD v0.4 and recorded project evidence. They do not claim new runtime functionality or source approval.</w:t>
      </w:r>
    </w:p>
    <w:p>
      <w:pPr>
        <w:pStyle w:val="Heading2"/>
      </w:pPr>
      <w:r>
        <w:rPr>
          <w:color w:val="000000"/>
        </w:rPr>
        <w:t>Document authority</w:t>
      </w:r>
    </w:p>
    <w:p>
      <w:pPr>
        <w:keepNext/>
      </w:pPr>
      <w:r>
        <w:t>Previously: Four v0.2 drafts lacked a clear precedence rule.</w:t>
      </w:r>
    </w:p>
    <w:p>
      <w:r>
        <w:t>Now: TRD v0.4 governs design and technical contracts; other documents refreshed to v0.3; manual remains the authority for bike facts.</w:t>
      </w:r>
    </w:p>
    <w:p>
      <w:pPr>
        <w:pStyle w:val="Heading2"/>
      </w:pPr>
      <w:r>
        <w:rPr>
          <w:color w:val="000000"/>
        </w:rPr>
        <w:t>Build and hosting</w:t>
      </w:r>
    </w:p>
    <w:p>
      <w:pPr>
        <w:keepNext/>
      </w:pPr>
      <w:r>
        <w:t>Previously: Offline ingestion wording and Streamlit Community Cloud as the provisional host; local NumPy/LSA baseline.</w:t>
      </w:r>
    </w:p>
    <w:p>
      <w:r>
        <w:t>Now: Hosted versioned GitHub ingestion; authenticated Cloud Run Qdrant with private Storage; Streamlit rider UI still pending.</w:t>
      </w:r>
    </w:p>
    <w:p>
      <w:pPr>
        <w:pStyle w:val="Heading2"/>
      </w:pPr>
      <w:r>
        <w:rPr>
          <w:color w:val="000000"/>
        </w:rPr>
        <w:t>Embeddings and chunking</w:t>
      </w:r>
    </w:p>
    <w:p>
      <w:pPr>
        <w:keepNext/>
      </w:pPr>
      <w:r>
        <w:t>Previously: Compact embedding baseline; hierarchical chunking without a selected hosted budget.</w:t>
      </w:r>
    </w:p>
    <w:p>
      <w:r>
        <w:t>Now: BGE M3 candidate selected with 1,024-token chunks, 532 search children and 277 section parents; reviewed procedure boundaries still pending.</w:t>
      </w:r>
    </w:p>
    <w:p>
      <w:pPr>
        <w:pStyle w:val="Heading2"/>
      </w:pPr>
      <w:r>
        <w:rPr>
          <w:color w:val="000000"/>
        </w:rPr>
        <w:t>Reranking</w:t>
      </w:r>
    </w:p>
    <w:p>
      <w:pPr>
        <w:keepNext/>
      </w:pPr>
      <w:r>
        <w:t>Previously: Generic conditional reranker or local lexical second pass with no explicit scheduling contract.</w:t>
      </w:r>
    </w:p>
    <w:p>
      <w:r>
        <w:t>Now: One exact dependency recovery and one conditional cross-encoder attempt; source review first; distinct-parent triggers provisional; mandatory evidence survives reassembly.</w:t>
      </w:r>
    </w:p>
    <w:p>
      <w:pPr>
        <w:pStyle w:val="Heading2"/>
      </w:pPr>
      <w:r>
        <w:rPr>
          <w:color w:val="000000"/>
        </w:rPr>
        <w:t>Evidence sufficiency</w:t>
      </w:r>
    </w:p>
    <w:p>
      <w:pPr>
        <w:keepNext/>
      </w:pPr>
      <w:r>
        <w:t>Previously: Attach prerequisites/warnings and verify claims without an explicit approved dependency manifest.</w:t>
      </w:r>
    </w:p>
    <w:p>
      <w:r>
        <w:t>Now: Required/attached/missing IDs plus manifest version/review; empty or unreviewed set fails closed; page presence alone is insufficient.</w:t>
      </w:r>
    </w:p>
    <w:p>
      <w:pPr>
        <w:pStyle w:val="Heading2"/>
      </w:pPr>
      <w:r>
        <w:rPr>
          <w:color w:val="000000"/>
        </w:rPr>
        <w:t>Controller authority</w:t>
      </w:r>
    </w:p>
    <w:p>
      <w:pPr>
        <w:keepNext/>
      </w:pPr>
      <w:r>
        <w:t>Previously: Deterministic state machine described broadly; no approved rule registry or three-valued contract.</w:t>
      </w:r>
    </w:p>
    <w:p>
      <w:r>
        <w:t>Now: Approved StepDefinition and ApplicabilityRule records; TRUE/FALSE/UNKNOWN predicates; eligibility distinct from evidence and final validation.</w:t>
      </w:r>
    </w:p>
    <w:p>
      <w:pPr>
        <w:pStyle w:val="Heading2"/>
      </w:pPr>
      <w:r>
        <w:rPr>
          <w:color w:val="000000"/>
        </w:rPr>
        <w:t>Clarification and failure routing</w:t>
      </w:r>
    </w:p>
    <w:p>
      <w:pPr>
        <w:keepNext/>
      </w:pPr>
      <w:r>
        <w:t>Previously: Partial evidence could clarify; answer/clarify/abstain aliases and unsafe/unsupported merged in the diagram.</w:t>
      </w:r>
    </w:p>
    <w:p>
      <w:r>
        <w:t>Now: Five canonical statuses; safety-stop precedence; rider questions only for resolvable facts; source gaps block; outages stay SYSTEM_ERROR.</w:t>
      </w:r>
    </w:p>
    <w:p>
      <w:pPr>
        <w:pStyle w:val="Heading2"/>
      </w:pPr>
      <w:r>
        <w:rPr>
          <w:color w:val="000000"/>
        </w:rPr>
        <w:t>Corrections and release priorities</w:t>
      </w:r>
    </w:p>
    <w:p>
      <w:pPr>
        <w:keepNext/>
      </w:pPr>
      <w:r>
        <w:t>Previously: Correction/backtracking P1; caching and tracing positioned as enhancements.</w:t>
      </w:r>
    </w:p>
    <w:p>
      <w:r>
        <w:t>Now: Corrections P0 under immutable attempts; basic tracing/cache rejection required before release; optional voice and expanded cache coverage remain P1.</w:t>
      </w:r>
    </w:p>
    <w:p>
      <w:pPr>
        <w:pStyle w:val="Heading2"/>
      </w:pPr>
      <w:r>
        <w:rPr>
          <w:color w:val="000000"/>
        </w:rPr>
        <w:t>Caching and versioning</w:t>
      </w:r>
    </w:p>
    <w:p>
      <w:pPr>
        <w:keepNext/>
      </w:pPr>
      <w:r>
        <w:t>Previously: Checksum/variant/path/prompt keys with incomplete review and dependency invalidation detail.</w:t>
      </w:r>
    </w:p>
    <w:p>
      <w:r>
        <w:t>Now: Only independently reviewed exact paths; affected rule/review/dependency/policy changes invalidate cache; policy updates reuse unchanged vectors.</w:t>
      </w:r>
    </w:p>
    <w:p>
      <w:pPr>
        <w:pStyle w:val="Heading2"/>
      </w:pPr>
      <w:r>
        <w:rPr>
          <w:color w:val="000000"/>
        </w:rPr>
        <w:t>Evaluation and latency</w:t>
      </w:r>
    </w:p>
    <w:p>
      <w:pPr>
        <w:keepNext/>
      </w:pPr>
      <w:r>
        <w:t>Previously: Provisional targets with generic rerank comparisons and no TTFO definition.</w:t>
      </w:r>
    </w:p>
    <w:p>
      <w:r>
        <w:t>Now: Retain targets; reviewed eligibility/assembly regressions, off/always/conditional held-out evaluation, first releasable token timing and separate/combined path p95.</w:t>
      </w:r>
    </w:p>
    <w:p>
      <w:pPr>
        <w:pStyle w:val="Heading2"/>
      </w:pPr>
      <w:r>
        <w:rPr>
          <w:color w:val="000000"/>
        </w:rPr>
        <w:t>Spending</w:t>
      </w:r>
    </w:p>
    <w:p>
      <w:pPr>
        <w:keepNext/>
      </w:pPr>
      <w:r>
        <w:t>Previously: Budget to be decided after provider selection.</w:t>
      </w:r>
    </w:p>
    <w:p>
      <w:r>
        <w:t>Now: Authorized US$10 project scope, INR800 non-recurring budget, alerts INR400/640/800, live guard INR640; delayed reporting caveat; UI daily limits pending.</w:t>
      </w:r>
    </w:p>
    <w:p>
      <w:pPr>
        <w:pStyle w:val="Heading2"/>
      </w:pPr>
      <w:r>
        <w:rPr>
          <w:color w:val="000000"/>
        </w:rPr>
        <w:t>Reported progress</w:t>
      </w:r>
    </w:p>
    <w:p>
      <w:pPr>
        <w:keepNext/>
      </w:pPr>
      <w:r>
        <w:t>Previously: Index, deployment and documentation inventory largely marked to build.</w:t>
      </w:r>
    </w:p>
    <w:p>
      <w:r>
        <w:t>Now: Hosted candidate build and recorded 11/11 backend checks complete; source approvals, UI, integrated controller/generator, holdout and public release remain open.</w:t>
      </w:r>
    </w:p>
    <w:sectPr w:rsidR="00FC693F" w:rsidRPr="0006063C" w:rsidSect="00034616">
      <w:headerReference w:type="default" r:id="rId9"/>
      <w:footerReference w:type="default" r:id="rId10"/>
      <w:footerReference w:type="first" r:id="rId11"/>
      <w:footerReference w:type="even" r:id="rId12"/>
      <w:headerReference w:type="first" r:id="rId13"/>
      <w:headerReference w:type="even" r:id="rId14"/>
      <w:pgSz w:w="12240" w:h="15840"/>
      <w:pgMar w:top="1123" w:right="1109" w:bottom="1008"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1"/>
        <w:sz w:val="16"/>
      </w:rPr>
      <w:t xml:space="preserve">DRAFT • OWNER-MANUAL PILOT     |     09 OCTOBER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000000"/>
        <w:sz w:val="16"/>
      </w:rPr>
      <w:t>MOTOMEDIC AI   |   DESIGN PACKAGE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102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2026-10-09T12:00:00Z</dcterms:modified>
  <cp:category/>
</cp:coreProperties>
</file>