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>Stage 07 DOCX Review: Paper 49</w:t>
      </w:r>
    </w:p>
    <w:p>
      <w:r>
        <w:rPr>
          <w:b/>
        </w:rPr>
        <w:t>round_id=stage07_xml_live_batch2_20260427 | paper_id=49</w:t>
      </w:r>
    </w:p>
    <w:p>
      <w:r>
        <w:t>Do not edit source text. Correct assignments by changing highlights only.</w:t>
      </w:r>
    </w:p>
    <w:p>
      <w:pPr>
        <w:pStyle w:val="Heading1"/>
      </w:pPr>
      <w:r>
        <w:t>Prediction Overview</w:t>
      </w:r>
    </w:p>
    <w:p>
      <w:r>
        <w:t>1027</w:t>
        <w:br/>
        <w:t>Caution in use of interferon for male infertility</w:t>
        <w:br/>
        <w:t>SiR-Treatment of idiopathic male infertility is difficult and</w:t>
        <w:br/>
        <w:t>the number of new drugs is increasing. No workers have</w:t>
        <w:br/>
        <w:t>shown in double-blind trials improved sperm count or</w:t>
        <w:br/>
        <w:t>motility in placebo-treated controls. We were surprised by</w:t>
        <w:br/>
        <w:t>Yamamoto and Miyake’s (Aug 27, p 614) report of</w:t>
        <w:br/>
        <w:t>successful use of interferon alfa for male infertility. They</w:t>
        <w:br/>
        <w:t>gave this drug at the daily dose of 3 MU, 5 days per week to</w:t>
        <w:br/>
        <w:t>3 patients with severe oligozoospermia and 1 with</w:t>
        <w:br/>
        <w:t>azoospermia, and recorded substantial improvements in</w:t>
        <w:br/>
        <w:t>sperm density and motility after two months’ treatment.</w:t>
        <w:br/>
        <w:t>This treatment was so successful that 2 patients’ wives</w:t>
        <w:br/>
        <w:t>became pregnant. Yamamoto and Miyake classified these</w:t>
        <w:br/>
        <w:t>patients as having idiopathic infertility, reporting in all cases</w:t>
        <w:br/>
        <w:t>normal follicle-stimulating hormone (FSH), luteinising</w:t>
        <w:br/>
        <w:t>hormone, and testosterone plasma concentrations. The</w:t>
        <w:br/>
        <w:t>normal plasma FSH in these patients suggests that the</w:t>
        <w:br/>
        <w:t>spermatogenetic process proceeds at least to spermatid level</w:t>
        <w:br/>
        <w:t>in order to maintain the inhibitory feed-back on this</w:t>
        <w:br/>
        <w:t>gonadotropin.</w:t>
        <w:br/>
        <w:t>We have recorded spontaneous improvement of seminal</w:t>
        <w:br/>
        <w:t>indices in 8 men presenting with important idiopathic</w:t>
        <w:br/>
        <w:t>oligozoospermia and normal plasma FSH.’ Assessment of</w:t>
        <w:br/>
        <w:t>testicular cytology by fine-needle aspiration done at the time</w:t>
        <w:br/>
        <w:t>of diagnosis showed normal maturation germ line on both</w:t>
        <w:br/>
        <w:t>testes. It has been postulated that in these cases some</w:t>
        <w:br/>
        <w:t>injurious effects of, for example, drugs or systemic acute</w:t>
        <w:br/>
        <w:t>illness could have induced transient spermatogenic cells</w:t>
        <w:br/>
        <w:t>damage, and that cytological analysis may have identified the</w:t>
        <w:br/>
        <w:t>tubular improvement before semen count has been restored.</w:t>
        <w:br/>
        <w:t>If these factors applied to Yamamoto and Miyake’s patients</w:t>
        <w:br/>
        <w:t>the improvement was not attributable to interferon.</w:t>
        <w:br/>
        <w:t>Moreover, normal plasma FSH concentrations associated</w:t>
        <w:br/>
        <w:t>with azoospermia or oligozoospermia are also seen in</w:t>
        <w:br/>
        <w:t>patients showing testicular cytological pictures of complete</w:t>
        <w:br/>
        <w:t>or partial spermatid arrest.’,2</w:t>
        <w:br/>
        <w:t>If such patients are given interferon, the drug could</w:t>
        <w:br/>
        <w:t>stimulate late maturative phases of spermatogenesis. This</w:t>
        <w:br/>
        <w:t>hypothesis is dangerous without evidence from experimental</w:t>
        <w:br/>
        <w:t>studies and double-blind therapeutical trials. A simple</w:t>
        <w:br/>
        <w:t>incidental observation does not justify use of this expensive</w:t>
        <w:br/>
        <w:t>drug in the treatment of idiopathic male infertility (50% of</w:t>
        <w:br/>
        <w:t>male infertility).</w:t>
        <w:br/>
        <w:t>Carlo Foresta, Marco Rossato</w:t>
        <w:br/>
        <w:t>University of Padova, Institute of Internal Medicine, 35128 Padova, Italy</w:t>
        <w:br/>
        <w:t>1 Foresta C, Varotto A. Assessment of testicular cytology by fine needle</w:t>
        <w:br/>
        <w:t>aspiration as a diagnostic parameter in the evaluation of the</w:t>
        <w:br/>
        <w:t>oligospermic subject. Fertil Steril 1992; 58: 1028.</w:t>
        <w:br/>
        <w:t>2 Foresta C, Varotto A, Scandellari C. Assessment of testicular cytology</w:t>
        <w:br/>
        <w:t>by fine needle aspiration as a diagnostic parameter in the evaluation of</w:t>
        <w:br/>
        <w:t>the azoospermic subject. Fertil Steril 1992; 57: 858.</w:t>
        <w:br/>
        <w:t>Vitamin D receptor gene polymorphism and</w:t>
        <w:br/>
        <w:t>bone mineral density in healthy Japanese</w:t>
        <w:br/>
        <w:t>women</w:t>
        <w:br/>
        <w:t>SIR-Morrison et all have reported that polymorphisms of</w:t>
        <w:br/>
        <w:t>the vitamin D receptor (VDR) gene account for 75% of the</w:t>
        <w:br/>
        <w:t>primary genetic factor for bone mineral density (BMD). We</w:t>
        <w:br/>
        <w:t>have done similar investigations in 102 healthy, unrelated,</w:t>
        <w:br/>
        <w:t>Japanese women, aged 23-68, whose BMD had been</w:t>
        <w:br/>
        <w:t>measured.</w:t>
        <w:br/>
        <w:t>BMD (from second to fourth lumbar verterbrae) was</w:t>
        <w:br/>
        <w:t>measured for the first time in 1992 on all 102 women. We</w:t>
        <w:br/>
        <w:t>used dual energy X-ray absorptiometry (Hologic QDR-</w:t>
        <w:br/>
        <w:t>*p=00040, tp=0.0023 (ANOVA).</w:t>
        <w:br/>
        <w:t>Table: Association between VDR genotype and BMD</w:t>
        <w:br/>
        <w:t>1000/W). 85 women had the measurement repeated about a</w:t>
        <w:br/>
        <w:t>year later. BMD was calculated as a Z score (average value</w:t>
        <w:br/>
        <w:t>0, SD 1) for the age groups under 40, 40-49, 50-59, and 60</w:t>
        <w:br/>
        <w:t>or over, with adjustment for age. The rate of decline of</w:t>
        <w:br/>
        <w:t>BMD was calculated by subtracting the 1993 value from the</w:t>
        <w:br/>
        <w:t>1992 one and dividing by the BMD in 1992.</w:t>
        <w:br/>
        <w:t>If we call alleles whose polymerase chain reaction products</w:t>
        <w:br/>
        <w:t>can be cut with the restriction enzyme BsmI b and those</w:t>
        <w:br/>
        <w:t>whose products cannot be cut with BsmI as B, the genotypes</w:t>
        <w:br/>
        <w:t>were bb in 56 (women), Bb in 39, and BB in 7. The</w:t>
        <w:br/>
        <w:t>genotype frequency was thus 74-0% for band 26-0% for B.</w:t>
        <w:br/>
        <w:t>This group obeyed the Hardy-Weinberg law. The allele</w:t>
        <w:br/>
        <w:t>frequencies among European whites’ were 55% for allele b</w:t>
        <w:br/>
        <w:t>and 45% for B, indicating a clear racial difference.</w:t>
        <w:br/>
        <w:t>Z score values increased in the order BB, Bb, and bb</w:t>
        <w:br/>
        <w:t>(table). As in Morrison’s data allele b was associated with the</w:t>
        <w:br/>
        <w:t>higher BMD in Japanese women. The BMD decrement rate</w:t>
        <w:br/>
        <w:t>increased in the order bb, Bb, and BB, indicating that VDR</w:t>
        <w:br/>
        <w:t>gene polymorphism is associated with the BMD decrement</w:t>
        <w:br/>
        <w:t>rate too.</w:t>
        <w:br/>
        <w:t>The above trends were more apparent in premenopausal</w:t>
        <w:br/>
        <w:t>women (47) than in postmenopausal women (55). The</w:t>
        <w:br/>
        <w:t>menopause may have a greater impact on BMD than the</w:t>
        <w:br/>
        <w:t>VDR genotype. We do not know how the VDR gene</w:t>
        <w:br/>
        <w:t>polymorphism affects BMD but our study shows that this</w:t>
        <w:br/>
        <w:t>polymorphism affects BMD regardless of race.</w:t>
        <w:br/>
        <w:t>Because the collagen gene is thought to be one of the</w:t>
        <w:br/>
        <w:t>genes affecting BMD2 we also studied the association</w:t>
        <w:br/>
        <w:t>between collagen type I gene polymorphism and BMD.</w:t>
        <w:br/>
        <w:t>There was no evidence of any association (unpublished).</w:t>
        <w:br/>
        <w:t>Z Yamagata, T Miyamura, S lijima, A Asaka, M Sasaki, J Kato,</w:t>
        <w:br/>
        <w:t>K Koizumi</w:t>
        <w:br/>
        <w:t>Health Care Centre, Yamanashi University, Kofu 400, Japan; and</w:t>
        <w:br/>
        <w:t>Departments of Health Sciences, Gynaecology and Obstetrics, and Radiology,</w:t>
        <w:br/>
        <w:t>Yamanashi Medical University</w:t>
        <w:br/>
        <w:t>1 Morrison NA, Qi JC, Tokita A, et al. Prediction of bone density from</w:t>
        <w:br/>
        <w:t>vitamin D receptor alleles. Nature 1994; 367: 284-87.</w:t>
        <w:br/>
        <w:t>2 Spotila LD, Constantinou CD, Serada L, et al. Mutation in a gene for</w:t>
        <w:br/>
        <w:t>type I procollagen (COL1A2) in a woman with postmenopausal</w:t>
        <w:br/>
        <w:t>osteoporosis; evidence for phenotypic and genotypic overlap with mild</w:t>
        <w:br/>
        <w:t>osteogenesis imperfecta. Proc Natl Acad Sci USA 88: 5423-27.</w:t>
        <w:br/>
      </w:r>
      <w:r>
        <w:rPr>
          <w:shd w:val="clear" w:color="auto" w:fill="FFF2CC"/>
        </w:rPr>
        <w:t>Genetics of susceptibility and resistance to</w:t>
        <w:br/>
        <w:t>insulin-dependent diabetes in stiff-man</w:t>
        <w:br/>
        <w:t>syndrome</w:t>
        <w:br/>
        <w:t>SiR-Stiff-man syndrome (SMS) is a rare disorder of the</w:t>
        <w:br/>
        <w:t>central nervous system characterised by muscle rigidity and</w:t>
        <w:br/>
        <w:t>spasms. Autoantibodies against glutamic acid decarboxylase</w:t>
        <w:br/>
        <w:t>(GAD) are found in 60% of patients,’ suggesting an</w:t>
        <w:br/>
        <w:t>autoimmune pathogenesis. SMS is often associated with</w:t>
        <w:br/>
        <w:t>other autoimmune diseases including insulin-dependent</w:t>
        <w:br/>
        <w:t>diabetes mellitus (IDDM). Since GAD is an autoantigen</w:t>
        <w:br/>
        <w:t>both in SMS and IDDM, the two diseases may correlate</w:t>
        <w:br/>
        <w:t>with different immune responses to GAD that are at least in</w:t>
        <w:br/>
        <w:t>part genetically determined.</w:t>
        <w:br/>
        <w:t>We have HLA typed 18 SMS patients’ and found that, as</w:t>
        <w:br/>
        <w:t>in IDDM, SMS was associated with the allele DQB1*0201.</w:t>
      </w:r>
    </w:p>
    <w:p>
      <w:r>
        <w:t>1028</w:t>
        <w:br/>
      </w:r>
      <w:r>
        <w:rPr>
          <w:shd w:val="clear" w:color="auto" w:fill="FFF2CC"/>
        </w:rPr>
        <w:t>Other DQB1 alleles rarely found in IDDM (*0602 and</w:t>
        <w:br/>
        <w:t>sequence-related *06 alleles) were found in 10 SMS patients</w:t>
        <w:br/>
        <w:t>at the frequency observed in controls. 5 of 8 SMS patients</w:t>
        <w:br/>
        <w:t>lacking a *06 allele had diabetes by contrast with 2 of 10</w:t>
        <w:br/>
        <w:t>patients with a *06 allele, suggesting that *06 might be</w:t>
        <w:br/>
        <w:t>associated with a reduced prevalence of diabetes in SMS. To</w:t>
        <w:br/>
        <w:t>test this hypothesis we followed up our SMS patients for the</w:t>
        <w:br/>
        <w:t>possible development of diabetes.</w:t>
        <w:br/>
        <w:t>Since our 1993 report3 additional SMS patients now have</w:t>
        <w:br/>
        <w:t>diabetes. All 3 patients had DQB1*0201 and 2 lacked *06</w:t>
        <w:br/>
        <w:t>alleles. Diabetes has thus now developed in 7 of 8 SMS</w:t>
        <w:br/>
        <w:t>patients lacking a *06 allele and in 3 of 10 with a *06 allele</w:t>
        <w:br/>
        <w:t>(p=002). 10 of 13 SMS patients with 1*0201 have diabetes</w:t>
        <w:br/>
        <w:t>versus 3 of 10 of those with a *06 allele (p=003).</w:t>
        <w:br/>
        <w:t>Moreover, we have recently found that first-degree</w:t>
        <w:br/>
        <w:t>relatives of IDDM patients with *0602 and SMS-like GAD</w:t>
        <w:br/>
        <w:t>autoantibodies are at very low risk of diabetes.4 Perhaps an</w:t>
        <w:br/>
        <w:t>SMS-like-anti-GAD response is associated with different</w:t>
        <w:br/>
        <w:t>rates of progression to overt diabetes depending on the HLA</w:t>
        <w:br/>
        <w:t>genetic background. Diabetes may develop very slowly or</w:t>
        <w:br/>
        <w:t>not at all in individuals with a subset of anti-GAD</w:t>
        <w:br/>
        <w:t>autoantibodies and IDDM-protective DQB1 alleles. We</w:t>
        <w:br/>
        <w:t>suggest that DQB1*0602 (and other sequence-related *06</w:t>
        <w:br/>
        <w:t>alleles) confers protection from diabetes in patients with</w:t>
        <w:br/>
        <w:t>SMS and relatives of patients with IDDM despite anti-GAD</w:t>
        <w:br/>
        <w:t>autoantibodies. By contrast, among SMS patients, 1*0201 is</w:t>
        <w:br/>
        <w:t>associated with high risk of diabetes, especially when</w:t>
        <w:br/>
        <w:t>protective *06 alleles are absent.</w:t>
      </w:r>
      <w:r>
        <w:br/>
        <w:t>Alberto Pugliese, Roberto Gianani, George S Eisenbarth,</w:t>
        <w:br/>
        <w:t>Pietro De Camilli, Michele Solimena</w:t>
        <w:br/>
        <w:t>Diabetes Research Institute, University of Miami Medical School, Miami, FL 33136,</w:t>
        <w:br/>
        <w:t>USA; Barbara Davis Center for Childhood Diabetes, Denver; Department of Cell</w:t>
        <w:br/>
        <w:t>Biology, Howard Hughes Medical Institute Research Laboratories, Yale University</w:t>
        <w:br/>
        <w:t>School of Medicine, New Haven; and Department of Internal Medicine, Yale</w:t>
        <w:br/>
        <w:t>University School of Medicine</w:t>
        <w:br/>
        <w:t>1 Solimena M, Folli F, Aparisi R, Pozza G, DeCamilli P. Autoantibodies</w:t>
        <w:br/>
        <w:t>to GABA-ergic neurons and pancreatic beta cells in stiff-man</w:t>
        <w:br/>
        <w:t>syndrome. N Engl J Med 1990; 322: 1555-60.</w:t>
        <w:br/>
        <w:t>2 Butler MH, Solimena M, Dirkx R, Hayday A, De Camilli P.</w:t>
        <w:br/>
        <w:t>Identification of a dominant epitope of glutamic acid decarboxylase</w:t>
        <w:br/>
        <w:t>(GAD 65) recognized by autoantibodies in stiff-man syndrome. J Exp</w:t>
        <w:br/>
        <w:t>Med 1993; 178: 2097-106.</w:t>
        <w:br/>
        <w:t>3 Pugliese A, Solimena M, Awdeh ZL, et al. Association of</w:t>
        <w:br/>
        <w:t>HLA-DQB1*0201 with stiff-man syndrome. J Clin Endocrinol Metab</w:t>
        <w:br/>
        <w:t>1993; 77: 1550-53.</w:t>
        <w:br/>
        <w:t>4 Gianani R, Pugliese A, Bonne-Weir S, et al. Prognostically significant</w:t>
        <w:br/>
        <w:t>heterogeneity of cytoplasmic islet cell antibodies in relatives of patients</w:t>
        <w:br/>
        <w:t>with type I diabetes. Diabetes 1992; 41: 347-53.</w:t>
        <w:br/>
        <w:t>Colitis associated with non-steroidal anti-</w:t>
        <w:br/>
        <w:t>inflammatory drugs</w:t>
        <w:br/>
        <w:t>SIR-The dangers of upper gastrointestinal side-effects of</w:t>
        <w:br/>
        <w:t>non-steroidal anti-inflammatory drugs (NSAIDs) are well</w:t>
        <w:br/>
        <w:t>known,’ but the capacity of these agents to injure colonic</w:t>
        <w:br/>
        <w:t>mucosa (ie, NSAID-associated colitis2) remains</w:t>
        <w:br/>
        <w:t>unrecognised by many gastroenterologists. A recent editorial</w:t>
        <w:br/>
        <w:t xml:space="preserve">on the aetiology of colitis made no specific reference. </w:t>
        <w:br/>
        <w:t>3</w:t>
        <w:br/>
        <w:t>Between March, 1991, and June, 1994, we saw 60 new</w:t>
        <w:br/>
        <w:t>cases of proctitis, proctocolitis, and colitis and in 23 (38%)</w:t>
        <w:br/>
        <w:t>colitis had developed while the patient was taking an</w:t>
        <w:br/>
        <w:t>NSAID. This came to light as a result of exhaustive drug</w:t>
        <w:br/>
        <w:t>histories. We included a thorough inquiry into analgesic</w:t>
        <w:br/>
        <w:t>usage by listing names of possible NSAID. We also asked</w:t>
        <w:br/>
        <w:t>about over-the-counter consumption. None of the 23</w:t>
        <w:br/>
        <w:t>patients had pre-existing inflammatory bowel disease that</w:t>
        <w:br/>
        <w:t>could have been exacerbated by NSAID ingestion.</w:t>
        <w:br/>
        <w:t>All patients presented with diarrhoea, with or without</w:t>
        <w:br/>
        <w:t>blood loss per rectum, and all had negative stool cultures.</w:t>
        <w:br/>
        <w:t>The diagnosis was established by colonoscopy within 7 days</w:t>
        <w:br/>
        <w:t>of presentation. The use of the colonoscope rather than a</w:t>
        <w:br/>
        <w:t>rigid sigmoidoscope is of particular relevance since NSAID-</w:t>
        <w:br/>
        <w:t>associated colitis frequently spares the rectum. The mean</w:t>
        <w:br/>
        <w:t>age of patients with NSAID-associated colitis was 53, with a</w:t>
        <w:br/>
        <w:t>range of 23-79.</w:t>
        <w:br/>
        <w:t>A wide variety of NSAIDs were implicated but diclofenac</w:t>
        <w:br/>
        <w:t>(12 cases) and mefenamic acid (5 cases) were the</w:t>
        <w:br/>
        <w:t>commonest. The NSAID had usually been taken orally but</w:t>
        <w:br/>
        <w:t>colitis was seen after rectal and intramuscular administration</w:t>
        <w:br/>
        <w:t>and could occur within a few days of therapy.</w:t>
        <w:br/>
        <w:t>Endoscopic appearances varied from a mild patchy non-</w:t>
        <w:br/>
        <w:t>ulcerative colitis with areas of punctate erythema and</w:t>
        <w:br/>
        <w:t>mucosal oedema to a picture indistinguishable from</w:t>
        <w:br/>
        <w:t>fulminating ulcerative colitis. Histological findings were non-</w:t>
        <w:br/>
        <w:t>specific, though ulceration and crypt abscesses were</w:t>
        <w:br/>
        <w:t>frequent. Granuloma formation was not seen.</w:t>
        <w:br/>
        <w:t>NSAID-associated colitis was frequently mild and rapidly</w:t>
        <w:br/>
        <w:t>improved on withdrawal of the drug and a 4-8 week course</w:t>
        <w:br/>
        <w:t>of oral sulphasalazine or mesalazine (5-aminosalicylic acid).</w:t>
        <w:br/>
        <w:t>More severe cases received systemic and topical steroids,</w:t>
        <w:br/>
        <w:t>and 1 patient required colectomy for a fulminating colitis</w:t>
        <w:br/>
        <w:t>and toxic megacolon after intramuscular diclofenac. On the</w:t>
        <w:br/>
        <w:t>whole, however, a patient with NSAID colitis will have a</w:t>
        <w:br/>
        <w:t>very good chance of full recovery. So far there have been no</w:t>
        <w:br/>
        <w:t>spontaneous relapses among the 23 patients; 1 had a</w:t>
        <w:br/>
        <w:t>recurrence of colitis after inadvertent re-exposure to an</w:t>
        <w:br/>
        <w:t>NSAID.</w:t>
        <w:br/>
        <w:t>NSAID-associated colitis seems to be an under-recognised</w:t>
        <w:br/>
        <w:t>but common form of colonic disease. We suggest taking a</w:t>
        <w:br/>
        <w:t>thorough drug history in every new case of colitis. Once</w:t>
        <w:br/>
        <w:t>NSAID-associated colitis is recognised a reassuring</w:t>
        <w:br/>
        <w:t>prognosis can be given to the patient. Long-term prophylaxis</w:t>
        <w:br/>
        <w:t>with sulphasalazine or mesalazine seems unnecessary. The</w:t>
        <w:br/>
        <w:t>psychological benefits for patients of knowing they do not</w:t>
        <w:br/>
        <w:t>have a chronic disease with the likelihood of relapse and the</w:t>
        <w:br/>
        <w:t>possible long-term risk of cancer are obvious. The cost</w:t>
        <w:br/>
        <w:t>saving in the avoidance of regular follow-up and life-long</w:t>
        <w:br/>
        <w:t>drug taking could be considerable.</w:t>
        <w:br/>
        <w:t>Michael Gleeson, Duncan Ramsay, Stuart Hutchinson,</w:t>
        <w:br/>
        <w:t>David Spencer, Gregory Monteith</w:t>
        <w:br/>
        <w:t>Departments of Gastroenterology and Histopathology, General Hospital, Jersey,</w:t>
        <w:br/>
        <w:t>Channel Islands JE2 3QS</w:t>
        <w:br/>
        <w:t>1 Somerville K, Faulkner G, Langman M. Non-steroidal</w:t>
        <w:br/>
        <w:t>anti-inflammatary drugs and bleeding peptic ulcer. Lancet 1986; i:</w:t>
        <w:br/>
        <w:t>462-66.</w:t>
        <w:br/>
        <w:t>2 Gibson GR, Whitacre EB, Ricotti CA. Colitis induced by non-</w:t>
        <w:br/>
        <w:t>steroidal anti-inflammatory drugs: report of four cases and review of</w:t>
        <w:br/>
        <w:t>the literature. Arch Intern Med 1992; 152: 625-32.</w:t>
        <w:br/>
        <w:t>3 Ferguson A. Ulcerative colitis and Crohn’s disease: important</w:t>
        <w:br/>
        <w:t>and disabling disease, still underresearched. BMJ 1994; 309:</w:t>
        <w:br/>
        <w:t>355.</w:t>
        <w:br/>
        <w:t>4 Kaufmann HJ, Taubin HL. Non-steroidal anti-inflammatory drugs</w:t>
        <w:br/>
        <w:t>activate quiescent inflammatory bowel disease. Ann Intern Med 1987;</w:t>
        <w:br/>
        <w:t>107: 513-16.</w:t>
        <w:br/>
        <w:t>Nosocomial HIV-1 transmission and primary</w:t>
        <w:br/>
        <w:t>prevention in Romania</w:t>
        <w:br/>
        <w:t>SiR-Blank and colleagues (Aug 20, p 512) report the</w:t>
        <w:br/>
        <w:t>possibility of patient-to-patient transmission of HIV during</w:t>
        <w:br/>
        <w:t>medical care in a paediatric unit. The HIV epidemic among</w:t>
        <w:br/>
        <w:t>Romanian children has already been attributed to</w:t>
        <w:br/>
        <w:t>nosocomial transmission." Since previous reports involved</w:t>
        <w:br/>
        <w:t>cross-sectional studies, we started a seroepidemiologic</w:t>
        <w:br/>
        <w:t>survey in 1992 in northeast Romania to establish the</w:t>
        <w:br/>
        <w:t>prevalence and incidence of HIV infection in life-care</w:t>
        <w:br/>
        <w:t>institutions for orphans and abandoned children. In 1992,</w:t>
      </w:r>
    </w:p>
    <w:p>
      <w:pPr>
        <w:pStyle w:val="Heading1"/>
      </w:pPr>
      <w:r>
        <w:t>Target Colour Legend</w:t>
      </w:r>
    </w:p>
    <w:p>
      <w:r>
        <w:t>Edit the Markdown legend if target labels, kinds, or colours need to change.</w:t>
      </w:r>
    </w:p>
    <w:p>
      <w:r>
        <w:rPr>
          <w:shd w:val="clear" w:color="auto" w:fill="FFF2CC"/>
        </w:rPr>
        <w:t>g1 | SPSD group | group | yellow | FFF2CC</w:t>
      </w:r>
    </w:p>
    <w:p>
      <w:pPr>
        <w:pStyle w:val="Heading1"/>
      </w:pPr>
      <w:r>
        <w:t>Authoritative Review Sections</w:t>
      </w:r>
    </w:p>
    <w:p>
      <w:pPr>
        <w:pStyle w:val="Heading2"/>
      </w:pPr>
      <w:r>
        <w:rPr>
          <w:b/>
          <w:shd w:val="clear" w:color="auto" w:fill="FFF2CC"/>
        </w:rPr>
        <w:t>REVIEW TARGET | target_id=g1 | label=SPSD group | kind=group | colour=yellow | fill=FFF2CC</w:t>
      </w:r>
    </w:p>
    <w:p>
      <w:r>
        <w:t>1027</w:t>
        <w:br/>
        <w:t>Caution in use of interferon for male infertility</w:t>
        <w:br/>
        <w:t>SiR-Treatment of idiopathic male infertility is difficult and</w:t>
        <w:br/>
        <w:t>the number of new drugs is increasing. No workers have</w:t>
        <w:br/>
        <w:t>shown in double-blind trials improved sperm count or</w:t>
        <w:br/>
        <w:t>motility in placebo-treated controls. We were surprised by</w:t>
        <w:br/>
        <w:t>Yamamoto and Miyake’s (Aug 27, p 614) report of</w:t>
        <w:br/>
        <w:t>successful use of interferon alfa for male infertility. They</w:t>
        <w:br/>
        <w:t>gave this drug at the daily dose of 3 MU, 5 days per week to</w:t>
        <w:br/>
        <w:t>3 patients with severe oligozoospermia and 1 with</w:t>
        <w:br/>
        <w:t>azoospermia, and recorded substantial improvements in</w:t>
        <w:br/>
        <w:t>sperm density and motility after two months’ treatment.</w:t>
        <w:br/>
        <w:t>This treatment was so successful that 2 patients’ wives</w:t>
        <w:br/>
        <w:t>became pregnant. Yamamoto and Miyake classified these</w:t>
        <w:br/>
        <w:t>patients as having idiopathic infertility, reporting in all cases</w:t>
        <w:br/>
        <w:t>normal follicle-stimulating hormone (FSH), luteinising</w:t>
        <w:br/>
        <w:t>hormone, and testosterone plasma concentrations. The</w:t>
        <w:br/>
        <w:t>normal plasma FSH in these patients suggests that the</w:t>
        <w:br/>
        <w:t>spermatogenetic process proceeds at least to spermatid level</w:t>
        <w:br/>
        <w:t>in order to maintain the inhibitory feed-back on this</w:t>
        <w:br/>
        <w:t>gonadotropin.</w:t>
        <w:br/>
        <w:t>We have recorded spontaneous improvement of seminal</w:t>
        <w:br/>
        <w:t>indices in 8 men presenting with important idiopathic</w:t>
        <w:br/>
        <w:t>oligozoospermia and normal plasma FSH.’ Assessment of</w:t>
        <w:br/>
        <w:t>testicular cytology by fine-needle aspiration done at the time</w:t>
        <w:br/>
        <w:t>of diagnosis showed normal maturation germ line on both</w:t>
        <w:br/>
        <w:t>testes. It has been postulated that in these cases some</w:t>
        <w:br/>
        <w:t>injurious effects of, for example, drugs or systemic acute</w:t>
        <w:br/>
        <w:t>illness could have induced transient spermatogenic cells</w:t>
        <w:br/>
        <w:t>damage, and that cytological analysis may have identified the</w:t>
        <w:br/>
        <w:t>tubular improvement before semen count has been restored.</w:t>
        <w:br/>
        <w:t>If these factors applied to Yamamoto and Miyake’s patients</w:t>
        <w:br/>
        <w:t>the improvement was not attributable to interferon.</w:t>
        <w:br/>
        <w:t>Moreover, normal plasma FSH concentrations associated</w:t>
        <w:br/>
        <w:t>with azoospermia or oligozoospermia are also seen in</w:t>
        <w:br/>
        <w:t>patients showing testicular cytological pictures of complete</w:t>
        <w:br/>
        <w:t>or partial spermatid arrest.’,2</w:t>
        <w:br/>
        <w:t>If such patients are given interferon, the drug could</w:t>
        <w:br/>
        <w:t>stimulate late maturative phases of spermatogenesis. This</w:t>
        <w:br/>
        <w:t>hypothesis is dangerous without evidence from experimental</w:t>
        <w:br/>
        <w:t>studies and double-blind therapeutical trials. A simple</w:t>
        <w:br/>
        <w:t>incidental observation does not justify use of this expensive</w:t>
        <w:br/>
        <w:t>drug in the treatment of idiopathic male infertility (50% of</w:t>
        <w:br/>
        <w:t>male infertility).</w:t>
        <w:br/>
        <w:t>Carlo Foresta, Marco Rossato</w:t>
        <w:br/>
        <w:t>University of Padova, Institute of Internal Medicine, 35128 Padova, Italy</w:t>
        <w:br/>
        <w:t>1 Foresta C, Varotto A. Assessment of testicular cytology by fine needle</w:t>
        <w:br/>
        <w:t>aspiration as a diagnostic parameter in the evaluation of the</w:t>
        <w:br/>
        <w:t>oligospermic subject. Fertil Steril 1992; 58: 1028.</w:t>
        <w:br/>
        <w:t>2 Foresta C, Varotto A, Scandellari C. Assessment of testicular cytology</w:t>
        <w:br/>
        <w:t>by fine needle aspiration as a diagnostic parameter in the evaluation of</w:t>
        <w:br/>
        <w:t>the azoospermic subject. Fertil Steril 1992; 57: 858.</w:t>
        <w:br/>
        <w:t>Vitamin D receptor gene polymorphism and</w:t>
        <w:br/>
        <w:t>bone mineral density in healthy Japanese</w:t>
        <w:br/>
        <w:t>women</w:t>
        <w:br/>
        <w:t>SIR-Morrison et all have reported that polymorphisms of</w:t>
        <w:br/>
        <w:t>the vitamin D receptor (VDR) gene account for 75% of the</w:t>
        <w:br/>
        <w:t>primary genetic factor for bone mineral density (BMD). We</w:t>
        <w:br/>
        <w:t>have done similar investigations in 102 healthy, unrelated,</w:t>
        <w:br/>
        <w:t>Japanese women, aged 23-68, whose BMD had been</w:t>
        <w:br/>
        <w:t>measured.</w:t>
        <w:br/>
        <w:t>BMD (from second to fourth lumbar verterbrae) was</w:t>
        <w:br/>
        <w:t>measured for the first time in 1992 on all 102 women. We</w:t>
        <w:br/>
        <w:t>used dual energy X-ray absorptiometry (Hologic QDR-</w:t>
        <w:br/>
        <w:t>*p=00040, tp=0.0023 (ANOVA).</w:t>
        <w:br/>
        <w:t>Table: Association between VDR genotype and BMD</w:t>
        <w:br/>
        <w:t>1000/W). 85 women had the measurement repeated about a</w:t>
        <w:br/>
        <w:t>year later. BMD was calculated as a Z score (average value</w:t>
        <w:br/>
        <w:t>0, SD 1) for the age groups under 40, 40-49, 50-59, and 60</w:t>
        <w:br/>
        <w:t>or over, with adjustment for age. The rate of decline of</w:t>
        <w:br/>
        <w:t>BMD was calculated by subtracting the 1993 value from the</w:t>
        <w:br/>
        <w:t>1992 one and dividing by the BMD in 1992.</w:t>
        <w:br/>
        <w:t>If we call alleles whose polymerase chain reaction products</w:t>
        <w:br/>
        <w:t>can be cut with the restriction enzyme BsmI b and those</w:t>
        <w:br/>
        <w:t>whose products cannot be cut with BsmI as B, the genotypes</w:t>
        <w:br/>
        <w:t>were bb in 56 (women), Bb in 39, and BB in 7. The</w:t>
        <w:br/>
        <w:t>genotype frequency was thus 74-0% for band 26-0% for B.</w:t>
        <w:br/>
        <w:t>This group obeyed the Hardy-Weinberg law. The allele</w:t>
        <w:br/>
        <w:t>frequencies among European whites’ were 55% for allele b</w:t>
        <w:br/>
        <w:t>and 45% for B, indicating a clear racial difference.</w:t>
        <w:br/>
        <w:t>Z score values increased in the order BB, Bb, and bb</w:t>
        <w:br/>
        <w:t>(table). As in Morrison’s data allele b was associated with the</w:t>
        <w:br/>
        <w:t>higher BMD in Japanese women. The BMD decrement rate</w:t>
        <w:br/>
        <w:t>increased in the order bb, Bb, and BB, indicating that VDR</w:t>
        <w:br/>
        <w:t>gene polymorphism is associated with the BMD decrement</w:t>
        <w:br/>
        <w:t>rate too.</w:t>
        <w:br/>
        <w:t>The above trends were more apparent in premenopausal</w:t>
        <w:br/>
        <w:t>women (47) than in postmenopausal women (55). The</w:t>
        <w:br/>
        <w:t>menopause may have a greater impact on BMD than the</w:t>
        <w:br/>
        <w:t>VDR genotype. We do not know how the VDR gene</w:t>
        <w:br/>
        <w:t>polymorphism affects BMD but our study shows that this</w:t>
        <w:br/>
        <w:t>polymorphism affects BMD regardless of race.</w:t>
        <w:br/>
        <w:t>Because the collagen gene is thought to be one of the</w:t>
        <w:br/>
        <w:t>genes affecting BMD2 we also studied the association</w:t>
        <w:br/>
        <w:t>between collagen type I gene polymorphism and BMD.</w:t>
        <w:br/>
        <w:t>There was no evidence of any association (unpublished).</w:t>
        <w:br/>
        <w:t>Z Yamagata, T Miyamura, S lijima, A Asaka, M Sasaki, J Kato,</w:t>
        <w:br/>
        <w:t>K Koizumi</w:t>
        <w:br/>
        <w:t>Health Care Centre, Yamanashi University, Kofu 400, Japan; and</w:t>
        <w:br/>
        <w:t>Departments of Health Sciences, Gynaecology and Obstetrics, and Radiology,</w:t>
        <w:br/>
        <w:t>Yamanashi Medical University</w:t>
        <w:br/>
        <w:t>1 Morrison NA, Qi JC, Tokita A, et al. Prediction of bone density from</w:t>
        <w:br/>
        <w:t>vitamin D receptor alleles. Nature 1994; 367: 284-87.</w:t>
        <w:br/>
        <w:t>2 Spotila LD, Constantinou CD, Serada L, et al. Mutation in a gene for</w:t>
        <w:br/>
        <w:t>type I procollagen (COL1A2) in a woman with postmenopausal</w:t>
        <w:br/>
        <w:t>osteoporosis; evidence for phenotypic and genotypic overlap with mild</w:t>
        <w:br/>
        <w:t>osteogenesis imperfecta. Proc Natl Acad Sci USA 88: 5423-27.</w:t>
        <w:br/>
      </w:r>
      <w:r>
        <w:rPr>
          <w:shd w:val="clear" w:color="auto" w:fill="FFF2CC"/>
        </w:rPr>
        <w:t>Genetics of susceptibility and resistance to</w:t>
        <w:br/>
        <w:t>insulin-dependent diabetes in stiff-man</w:t>
        <w:br/>
        <w:t>syndrome</w:t>
        <w:br/>
        <w:t>SiR-Stiff-man syndrome (SMS) is a rare disorder of the</w:t>
        <w:br/>
        <w:t>central nervous system characterised by muscle rigidity and</w:t>
        <w:br/>
        <w:t>spasms. Autoantibodies against glutamic acid decarboxylase</w:t>
        <w:br/>
        <w:t>(GAD) are found in 60% of patients,’ suggesting an</w:t>
        <w:br/>
        <w:t>autoimmune pathogenesis. SMS is often associated with</w:t>
        <w:br/>
        <w:t>other autoimmune diseases including insulin-dependent</w:t>
        <w:br/>
        <w:t>diabetes mellitus (IDDM). Since GAD is an autoantigen</w:t>
        <w:br/>
        <w:t>both in SMS and IDDM, the two diseases may correlate</w:t>
        <w:br/>
        <w:t>with different immune responses to GAD that are at least in</w:t>
        <w:br/>
        <w:t>part genetically determined.</w:t>
        <w:br/>
        <w:t>We have HLA typed 18 SMS patients’ and found that, as</w:t>
        <w:br/>
        <w:t>in IDDM, SMS was associated with the allele DQB1*0201.</w:t>
      </w:r>
    </w:p>
    <w:p>
      <w:r>
        <w:t>1028</w:t>
        <w:br/>
      </w:r>
      <w:r>
        <w:rPr>
          <w:shd w:val="clear" w:color="auto" w:fill="FFF2CC"/>
        </w:rPr>
        <w:t>Other DQB1 alleles rarely found in IDDM (*0602 and</w:t>
        <w:br/>
        <w:t>sequence-related *06 alleles) were found in 10 SMS patients</w:t>
        <w:br/>
        <w:t>at the frequency observed in controls. 5 of 8 SMS patients</w:t>
        <w:br/>
        <w:t>lacking a *06 allele had diabetes by contrast with 2 of 10</w:t>
        <w:br/>
        <w:t>patients with a *06 allele, suggesting that *06 might be</w:t>
        <w:br/>
        <w:t>associated with a reduced prevalence of diabetes in SMS. To</w:t>
        <w:br/>
        <w:t>test this hypothesis we followed up our SMS patients for the</w:t>
        <w:br/>
        <w:t>possible development of diabetes.</w:t>
        <w:br/>
        <w:t>Since our 1993 report3 additional SMS patients now have</w:t>
        <w:br/>
        <w:t>diabetes. All 3 patients had DQB1*0201 and 2 lacked *06</w:t>
        <w:br/>
        <w:t>alleles. Diabetes has thus now developed in 7 of 8 SMS</w:t>
        <w:br/>
        <w:t>patients lacking a *06 allele and in 3 of 10 with a *06 allele</w:t>
        <w:br/>
        <w:t>(p=002). 10 of 13 SMS patients with 1*0201 have diabetes</w:t>
        <w:br/>
        <w:t>versus 3 of 10 of those with a *06 allele (p=003).</w:t>
        <w:br/>
        <w:t>Moreover, we have recently found that first-degree</w:t>
        <w:br/>
        <w:t>relatives of IDDM patients with *0602 and SMS-like GAD</w:t>
        <w:br/>
        <w:t>autoantibodies are at very low risk of diabetes.4 Perhaps an</w:t>
        <w:br/>
        <w:t>SMS-like-anti-GAD response is associated with different</w:t>
        <w:br/>
        <w:t>rates of progression to overt diabetes depending on the HLA</w:t>
        <w:br/>
        <w:t>genetic background. Diabetes may develop very slowly or</w:t>
        <w:br/>
        <w:t>not at all in individuals with a subset of anti-GAD</w:t>
        <w:br/>
        <w:t>autoantibodies and IDDM-protective DQB1 alleles. We</w:t>
        <w:br/>
        <w:t>suggest that DQB1*0602 (and other sequence-related *06</w:t>
        <w:br/>
        <w:t>alleles) confers protection from diabetes in patients with</w:t>
        <w:br/>
        <w:t>SMS and relatives of patients with IDDM despite anti-GAD</w:t>
        <w:br/>
        <w:t>autoantibodies. By contrast, among SMS patients, 1*0201 is</w:t>
        <w:br/>
        <w:t>associated with high risk of diabetes, especially when</w:t>
        <w:br/>
        <w:t>protective *06 alleles are absent.</w:t>
      </w:r>
      <w:r>
        <w:br/>
        <w:t>Alberto Pugliese, Roberto Gianani, George S Eisenbarth,</w:t>
        <w:br/>
        <w:t>Pietro De Camilli, Michele Solimena</w:t>
        <w:br/>
        <w:t>Diabetes Research Institute, University of Miami Medical School, Miami, FL 33136,</w:t>
        <w:br/>
        <w:t>USA; Barbara Davis Center for Childhood Diabetes, Denver; Department of Cell</w:t>
        <w:br/>
        <w:t>Biology, Howard Hughes Medical Institute Research Laboratories, Yale University</w:t>
        <w:br/>
        <w:t>School of Medicine, New Haven; and Department of Internal Medicine, Yale</w:t>
        <w:br/>
        <w:t>University School of Medicine</w:t>
        <w:br/>
        <w:t>1 Solimena M, Folli F, Aparisi R, Pozza G, DeCamilli P. Autoantibodies</w:t>
        <w:br/>
        <w:t>to GABA-ergic neurons and pancreatic beta cells in stiff-man</w:t>
        <w:br/>
        <w:t>syndrome. N Engl J Med 1990; 322: 1555-60.</w:t>
        <w:br/>
        <w:t>2 Butler MH, Solimena M, Dirkx R, Hayday A, De Camilli P.</w:t>
        <w:br/>
        <w:t>Identification of a dominant epitope of glutamic acid decarboxylase</w:t>
        <w:br/>
        <w:t>(GAD 65) recognized by autoantibodies in stiff-man syndrome. J Exp</w:t>
        <w:br/>
        <w:t>Med 1993; 178: 2097-106.</w:t>
        <w:br/>
        <w:t>3 Pugliese A, Solimena M, Awdeh ZL, et al. Association of</w:t>
        <w:br/>
        <w:t>HLA-DQB1*0201 with stiff-man syndrome. J Clin Endocrinol Metab</w:t>
        <w:br/>
        <w:t>1993; 77: 1550-53.</w:t>
        <w:br/>
        <w:t>4 Gianani R, Pugliese A, Bonne-Weir S, et al. Prognostically significant</w:t>
        <w:br/>
        <w:t>heterogeneity of cytoplasmic islet cell antibodies in relatives of patients</w:t>
        <w:br/>
        <w:t>with type I diabetes. Diabetes 1992; 41: 347-53.</w:t>
        <w:br/>
        <w:t>Colitis associated with non-steroidal anti-</w:t>
        <w:br/>
        <w:t>inflammatory drugs</w:t>
        <w:br/>
        <w:t>SIR-The dangers of upper gastrointestinal side-effects of</w:t>
        <w:br/>
        <w:t>non-steroidal anti-inflammatory drugs (NSAIDs) are well</w:t>
        <w:br/>
        <w:t>known,’ but the capacity of these agents to injure colonic</w:t>
        <w:br/>
        <w:t>mucosa (ie, NSAID-associated colitis2) remains</w:t>
        <w:br/>
        <w:t>unrecognised by many gastroenterologists. A recent editorial</w:t>
        <w:br/>
        <w:t xml:space="preserve">on the aetiology of colitis made no specific reference. </w:t>
        <w:br/>
        <w:t>3</w:t>
        <w:br/>
        <w:t>Between March, 1991, and June, 1994, we saw 60 new</w:t>
        <w:br/>
        <w:t>cases of proctitis, proctocolitis, and colitis and in 23 (38%)</w:t>
        <w:br/>
        <w:t>colitis had developed while the patient was taking an</w:t>
        <w:br/>
        <w:t>NSAID. This came to light as a result of exhaustive drug</w:t>
        <w:br/>
        <w:t>histories. We included a thorough inquiry into analgesic</w:t>
        <w:br/>
        <w:t>usage by listing names of possible NSAID. We also asked</w:t>
        <w:br/>
        <w:t>about over-the-counter consumption. None of the 23</w:t>
        <w:br/>
        <w:t>patients had pre-existing inflammatory bowel disease that</w:t>
        <w:br/>
        <w:t>could have been exacerbated by NSAID ingestion.</w:t>
        <w:br/>
        <w:t>All patients presented with diarrhoea, with or without</w:t>
        <w:br/>
        <w:t>blood loss per rectum, and all had negative stool cultures.</w:t>
        <w:br/>
        <w:t>The diagnosis was established by colonoscopy within 7 days</w:t>
        <w:br/>
        <w:t>of presentation. The use of the colonoscope rather than a</w:t>
        <w:br/>
        <w:t>rigid sigmoidoscope is of particular relevance since NSAID-</w:t>
        <w:br/>
        <w:t>associated colitis frequently spares the rectum. The mean</w:t>
        <w:br/>
        <w:t>age of patients with NSAID-associated colitis was 53, with a</w:t>
        <w:br/>
        <w:t>range of 23-79.</w:t>
        <w:br/>
        <w:t>A wide variety of NSAIDs were implicated but diclofenac</w:t>
        <w:br/>
        <w:t>(12 cases) and mefenamic acid (5 cases) were the</w:t>
        <w:br/>
        <w:t>commonest. The NSAID had usually been taken orally but</w:t>
        <w:br/>
        <w:t>colitis was seen after rectal and intramuscular administration</w:t>
        <w:br/>
        <w:t>and could occur within a few days of therapy.</w:t>
        <w:br/>
        <w:t>Endoscopic appearances varied from a mild patchy non-</w:t>
        <w:br/>
        <w:t>ulcerative colitis with areas of punctate erythema and</w:t>
        <w:br/>
        <w:t>mucosal oedema to a picture indistinguishable from</w:t>
        <w:br/>
        <w:t>fulminating ulcerative colitis. Histological findings were non-</w:t>
        <w:br/>
        <w:t>specific, though ulceration and crypt abscesses were</w:t>
        <w:br/>
        <w:t>frequent. Granuloma formation was not seen.</w:t>
        <w:br/>
        <w:t>NSAID-associated colitis was frequently mild and rapidly</w:t>
        <w:br/>
        <w:t>improved on withdrawal of the drug and a 4-8 week course</w:t>
        <w:br/>
        <w:t>of oral sulphasalazine or mesalazine (5-aminosalicylic acid).</w:t>
        <w:br/>
        <w:t>More severe cases received systemic and topical steroids,</w:t>
        <w:br/>
        <w:t>and 1 patient required colectomy for a fulminating colitis</w:t>
        <w:br/>
        <w:t>and toxic megacolon after intramuscular diclofenac. On the</w:t>
        <w:br/>
        <w:t>whole, however, a patient with NSAID colitis will have a</w:t>
        <w:br/>
        <w:t>very good chance of full recovery. So far there have been no</w:t>
        <w:br/>
        <w:t>spontaneous relapses among the 23 patients; 1 had a</w:t>
        <w:br/>
        <w:t>recurrence of colitis after inadvertent re-exposure to an</w:t>
        <w:br/>
        <w:t>NSAID.</w:t>
        <w:br/>
        <w:t>NSAID-associated colitis seems to be an under-recognised</w:t>
        <w:br/>
        <w:t>but common form of colonic disease. We suggest taking a</w:t>
        <w:br/>
        <w:t>thorough drug history in every new case of colitis. Once</w:t>
        <w:br/>
        <w:t>NSAID-associated colitis is recognised a reassuring</w:t>
        <w:br/>
        <w:t>prognosis can be given to the patient. Long-term prophylaxis</w:t>
        <w:br/>
        <w:t>with sulphasalazine or mesalazine seems unnecessary. The</w:t>
        <w:br/>
        <w:t>psychological benefits for patients of knowing they do not</w:t>
        <w:br/>
        <w:t>have a chronic disease with the likelihood of relapse and the</w:t>
        <w:br/>
        <w:t>possible long-term risk of cancer are obvious. The cost</w:t>
        <w:br/>
        <w:t>saving in the avoidance of regular follow-up and life-long</w:t>
        <w:br/>
        <w:t>drug taking could be considerable.</w:t>
        <w:br/>
        <w:t>Michael Gleeson, Duncan Ramsay, Stuart Hutchinson,</w:t>
        <w:br/>
        <w:t>David Spencer, Gregory Monteith</w:t>
        <w:br/>
        <w:t>Departments of Gastroenterology and Histopathology, General Hospital, Jersey,</w:t>
        <w:br/>
        <w:t>Channel Islands JE2 3QS</w:t>
        <w:br/>
        <w:t>1 Somerville K, Faulkner G, Langman M. Non-steroidal</w:t>
        <w:br/>
        <w:t>anti-inflammatary drugs and bleeding peptic ulcer. Lancet 1986; i:</w:t>
        <w:br/>
        <w:t>462-66.</w:t>
        <w:br/>
        <w:t>2 Gibson GR, Whitacre EB, Ricotti CA. Colitis induced by non-</w:t>
        <w:br/>
        <w:t>steroidal anti-inflammatory drugs: report of four cases and review of</w:t>
        <w:br/>
        <w:t>the literature. Arch Intern Med 1992; 152: 625-32.</w:t>
        <w:br/>
        <w:t>3 Ferguson A. Ulcerative colitis and Crohn’s disease: important</w:t>
        <w:br/>
        <w:t>and disabling disease, still underresearched. BMJ 1994; 309:</w:t>
        <w:br/>
        <w:t>355.</w:t>
        <w:br/>
        <w:t>4 Kaufmann HJ, Taubin HL. Non-steroidal anti-inflammatory drugs</w:t>
        <w:br/>
        <w:t>activate quiescent inflammatory bowel disease. Ann Intern Med 1987;</w:t>
        <w:br/>
        <w:t>107: 513-16.</w:t>
        <w:br/>
        <w:t>Nosocomial HIV-1 transmission and primary</w:t>
        <w:br/>
        <w:t>prevention in Romania</w:t>
        <w:br/>
        <w:t>SiR-Blank and colleagues (Aug 20, p 512) report the</w:t>
        <w:br/>
        <w:t>possibility of patient-to-patient transmission of HIV during</w:t>
        <w:br/>
        <w:t>medical care in a paediatric unit. The HIV epidemic among</w:t>
        <w:br/>
        <w:t>Romanian children has already been attributed to</w:t>
        <w:br/>
        <w:t>nosocomial transmission." Since previous reports involved</w:t>
        <w:br/>
        <w:t>cross-sectional studies, we started a seroepidemiologic</w:t>
        <w:br/>
        <w:t>survey in 1992 in northeast Romania to establish the</w:t>
        <w:br/>
        <w:t>prevalence and incidence of HIV infection in life-care</w:t>
        <w:br/>
        <w:t>institutions for orphans and abandoned children. In 1992,</w:t>
      </w:r>
    </w:p>
    <w:p>
      <w:pPr>
        <w:pStyle w:val="Heading2"/>
      </w:pPr>
      <w:r>
        <w:rPr>
          <w:b/>
          <w:shd w:val="clear" w:color="auto" w:fill="D9D9D9"/>
        </w:rPr>
        <w:t>REVIEW TARGET | target_id=new_target_1 | label=New target 1 | kind=template | colour=lightGray | fill=D9D9D9</w:t>
      </w:r>
    </w:p>
    <w:p>
      <w:r>
        <w:t>1027</w:t>
        <w:br/>
        <w:t>Caution in use of interferon for male infertility</w:t>
        <w:br/>
        <w:t>SiR-Treatment of idiopathic male infertility is difficult and</w:t>
        <w:br/>
        <w:t>the number of new drugs is increasing. No workers have</w:t>
        <w:br/>
        <w:t>shown in double-blind trials improved sperm count or</w:t>
        <w:br/>
        <w:t>motility in placebo-treated controls. We were surprised by</w:t>
        <w:br/>
        <w:t>Yamamoto and Miyake’s (Aug 27, p 614) report of</w:t>
        <w:br/>
        <w:t>successful use of interferon alfa for male infertility. They</w:t>
        <w:br/>
        <w:t>gave this drug at the daily dose of 3 MU, 5 days per week to</w:t>
        <w:br/>
        <w:t>3 patients with severe oligozoospermia and 1 with</w:t>
        <w:br/>
        <w:t>azoospermia, and recorded substantial improvements in</w:t>
        <w:br/>
        <w:t>sperm density and motility after two months’ treatment.</w:t>
        <w:br/>
        <w:t>This treatment was so successful that 2 patients’ wives</w:t>
        <w:br/>
        <w:t>became pregnant. Yamamoto and Miyake classified these</w:t>
        <w:br/>
        <w:t>patients as having idiopathic infertility, reporting in all cases</w:t>
        <w:br/>
        <w:t>normal follicle-stimulating hormone (FSH), luteinising</w:t>
        <w:br/>
        <w:t>hormone, and testosterone plasma concentrations. The</w:t>
        <w:br/>
        <w:t>normal plasma FSH in these patients suggests that the</w:t>
        <w:br/>
        <w:t>spermatogenetic process proceeds at least to spermatid level</w:t>
        <w:br/>
        <w:t>in order to maintain the inhibitory feed-back on this</w:t>
        <w:br/>
        <w:t>gonadotropin.</w:t>
        <w:br/>
        <w:t>We have recorded spontaneous improvement of seminal</w:t>
        <w:br/>
        <w:t>indices in 8 men presenting with important idiopathic</w:t>
        <w:br/>
        <w:t>oligozoospermia and normal plasma FSH.’ Assessment of</w:t>
        <w:br/>
        <w:t>testicular cytology by fine-needle aspiration done at the time</w:t>
        <w:br/>
        <w:t>of diagnosis showed normal maturation germ line on both</w:t>
        <w:br/>
        <w:t>testes. It has been postulated that in these cases some</w:t>
        <w:br/>
        <w:t>injurious effects of, for example, drugs or systemic acute</w:t>
        <w:br/>
        <w:t>illness could have induced transient spermatogenic cells</w:t>
        <w:br/>
        <w:t>damage, and that cytological analysis may have identified the</w:t>
        <w:br/>
        <w:t>tubular improvement before semen count has been restored.</w:t>
        <w:br/>
        <w:t>If these factors applied to Yamamoto and Miyake’s patients</w:t>
        <w:br/>
        <w:t>the improvement was not attributable to interferon.</w:t>
        <w:br/>
        <w:t>Moreover, normal plasma FSH concentrations associated</w:t>
        <w:br/>
        <w:t>with azoospermia or oligozoospermia are also seen in</w:t>
        <w:br/>
        <w:t>patients showing testicular cytological pictures of complete</w:t>
        <w:br/>
        <w:t>or partial spermatid arrest.’,2</w:t>
        <w:br/>
        <w:t>If such patients are given interferon, the drug could</w:t>
        <w:br/>
        <w:t>stimulate late maturative phases of spermatogenesis. This</w:t>
        <w:br/>
        <w:t>hypothesis is dangerous without evidence from experimental</w:t>
        <w:br/>
        <w:t>studies and double-blind therapeutical trials. A simple</w:t>
        <w:br/>
        <w:t>incidental observation does not justify use of this expensive</w:t>
        <w:br/>
        <w:t>drug in the treatment of idiopathic male infertility (50% of</w:t>
        <w:br/>
        <w:t>male infertility).</w:t>
        <w:br/>
        <w:t>Carlo Foresta, Marco Rossato</w:t>
        <w:br/>
        <w:t>University of Padova, Institute of Internal Medicine, 35128 Padova, Italy</w:t>
        <w:br/>
        <w:t>1 Foresta C, Varotto A. Assessment of testicular cytology by fine needle</w:t>
        <w:br/>
        <w:t>aspiration as a diagnostic parameter in the evaluation of the</w:t>
        <w:br/>
        <w:t>oligospermic subject. Fertil Steril 1992; 58: 1028.</w:t>
        <w:br/>
        <w:t>2 Foresta C, Varotto A, Scandellari C. Assessment of testicular cytology</w:t>
        <w:br/>
        <w:t>by fine needle aspiration as a diagnostic parameter in the evaluation of</w:t>
        <w:br/>
        <w:t>the azoospermic subject. Fertil Steril 1992; 57: 858.</w:t>
        <w:br/>
        <w:t>Vitamin D receptor gene polymorphism and</w:t>
        <w:br/>
        <w:t>bone mineral density in healthy Japanese</w:t>
        <w:br/>
        <w:t>women</w:t>
        <w:br/>
        <w:t>SIR-Morrison et all have reported that polymorphisms of</w:t>
        <w:br/>
        <w:t>the vitamin D receptor (VDR) gene account for 75% of the</w:t>
        <w:br/>
        <w:t>primary genetic factor for bone mineral density (BMD). We</w:t>
        <w:br/>
        <w:t>have done similar investigations in 102 healthy, unrelated,</w:t>
        <w:br/>
        <w:t>Japanese women, aged 23-68, whose BMD had been</w:t>
        <w:br/>
        <w:t>measured.</w:t>
        <w:br/>
        <w:t>BMD (from second to fourth lumbar verterbrae) was</w:t>
        <w:br/>
        <w:t>measured for the first time in 1992 on all 102 women. We</w:t>
        <w:br/>
        <w:t>used dual energy X-ray absorptiometry (Hologic QDR-</w:t>
        <w:br/>
        <w:t>*p=00040, tp=0.0023 (ANOVA).</w:t>
        <w:br/>
        <w:t>Table: Association between VDR genotype and BMD</w:t>
        <w:br/>
        <w:t>1000/W). 85 women had the measurement repeated about a</w:t>
        <w:br/>
        <w:t>year later. BMD was calculated as a Z score (average value</w:t>
        <w:br/>
        <w:t>0, SD 1) for the age groups under 40, 40-49, 50-59, and 60</w:t>
        <w:br/>
        <w:t>or over, with adjustment for age. The rate of decline of</w:t>
        <w:br/>
        <w:t>BMD was calculated by subtracting the 1993 value from the</w:t>
        <w:br/>
        <w:t>1992 one and dividing by the BMD in 1992.</w:t>
        <w:br/>
        <w:t>If we call alleles whose polymerase chain reaction products</w:t>
        <w:br/>
        <w:t>can be cut with the restriction enzyme BsmI b and those</w:t>
        <w:br/>
        <w:t>whose products cannot be cut with BsmI as B, the genotypes</w:t>
        <w:br/>
        <w:t>were bb in 56 (women), Bb in 39, and BB in 7. The</w:t>
        <w:br/>
        <w:t>genotype frequency was thus 74-0% for band 26-0% for B.</w:t>
        <w:br/>
        <w:t>This group obeyed the Hardy-Weinberg law. The allele</w:t>
        <w:br/>
        <w:t>frequencies among European whites’ were 55% for allele b</w:t>
        <w:br/>
        <w:t>and 45% for B, indicating a clear racial difference.</w:t>
        <w:br/>
        <w:t>Z score values increased in the order BB, Bb, and bb</w:t>
        <w:br/>
        <w:t>(table). As in Morrison’s data allele b was associated with the</w:t>
        <w:br/>
        <w:t>higher BMD in Japanese women. The BMD decrement rate</w:t>
        <w:br/>
        <w:t>increased in the order bb, Bb, and BB, indicating that VDR</w:t>
        <w:br/>
        <w:t>gene polymorphism is associated with the BMD decrement</w:t>
        <w:br/>
        <w:t>rate too.</w:t>
        <w:br/>
        <w:t>The above trends were more apparent in premenopausal</w:t>
        <w:br/>
        <w:t>women (47) than in postmenopausal women (55). The</w:t>
        <w:br/>
        <w:t>menopause may have a greater impact on BMD than the</w:t>
        <w:br/>
        <w:t>VDR genotype. We do not know how the VDR gene</w:t>
        <w:br/>
        <w:t>polymorphism affects BMD but our study shows that this</w:t>
        <w:br/>
        <w:t>polymorphism affects BMD regardless of race.</w:t>
        <w:br/>
        <w:t>Because the collagen gene is thought to be one of the</w:t>
        <w:br/>
        <w:t>genes affecting BMD2 we also studied the association</w:t>
        <w:br/>
        <w:t>between collagen type I gene polymorphism and BMD.</w:t>
        <w:br/>
        <w:t>There was no evidence of any association (unpublished).</w:t>
        <w:br/>
        <w:t>Z Yamagata, T Miyamura, S lijima, A Asaka, M Sasaki, J Kato,</w:t>
        <w:br/>
        <w:t>K Koizumi</w:t>
        <w:br/>
        <w:t>Health Care Centre, Yamanashi University, Kofu 400, Japan; and</w:t>
        <w:br/>
        <w:t>Departments of Health Sciences, Gynaecology and Obstetrics, and Radiology,</w:t>
        <w:br/>
        <w:t>Yamanashi Medical University</w:t>
        <w:br/>
        <w:t>1 Morrison NA, Qi JC, Tokita A, et al. Prediction of bone density from</w:t>
        <w:br/>
        <w:t>vitamin D receptor alleles. Nature 1994; 367: 284-87.</w:t>
        <w:br/>
        <w:t>2 Spotila LD, Constantinou CD, Serada L, et al. Mutation in a gene for</w:t>
        <w:br/>
        <w:t>type I procollagen (COL1A2) in a woman with postmenopausal</w:t>
        <w:br/>
        <w:t>osteoporosis; evidence for phenotypic and genotypic overlap with mild</w:t>
        <w:br/>
        <w:t>osteogenesis imperfecta. Proc Natl Acad Sci USA 88: 5423-27.</w:t>
        <w:br/>
        <w:t>Genetics of susceptibility and resistance to</w:t>
        <w:br/>
        <w:t>insulin-dependent diabetes in stiff-man</w:t>
        <w:br/>
        <w:t>syndrome</w:t>
        <w:br/>
        <w:t>SiR-Stiff-man syndrome (SMS) is a rare disorder of the</w:t>
        <w:br/>
        <w:t>central nervous system characterised by muscle rigidity and</w:t>
        <w:br/>
        <w:t>spasms. Autoantibodies against glutamic acid decarboxylase</w:t>
        <w:br/>
        <w:t>(GAD) are found in 60% of patients,’ suggesting an</w:t>
        <w:br/>
        <w:t>autoimmune pathogenesis. SMS is often associated with</w:t>
        <w:br/>
        <w:t>other autoimmune diseases including insulin-dependent</w:t>
        <w:br/>
        <w:t>diabetes mellitus (IDDM). Since GAD is an autoantigen</w:t>
        <w:br/>
        <w:t>both in SMS and IDDM, the two diseases may correlate</w:t>
        <w:br/>
        <w:t>with different immune responses to GAD that are at least in</w:t>
        <w:br/>
        <w:t>part genetically determined.</w:t>
        <w:br/>
        <w:t>We have HLA typed 18 SMS patients’ and found that, as</w:t>
        <w:br/>
        <w:t>in IDDM, SMS was associated with the allele DQB1*0201.</w:t>
      </w:r>
    </w:p>
    <w:p>
      <w:r>
        <w:t>1028</w:t>
        <w:br/>
        <w:t>Other DQB1 alleles rarely found in IDDM (*0602 and</w:t>
        <w:br/>
        <w:t>sequence-related *06 alleles) were found in 10 SMS patients</w:t>
        <w:br/>
        <w:t>at the frequency observed in controls. 5 of 8 SMS patients</w:t>
        <w:br/>
        <w:t>lacking a *06 allele had diabetes by contrast with 2 of 10</w:t>
        <w:br/>
        <w:t>patients with a *06 allele, suggesting that *06 might be</w:t>
        <w:br/>
        <w:t>associated with a reduced prevalence of diabetes in SMS. To</w:t>
        <w:br/>
        <w:t>test this hypothesis we followed up our SMS patients for the</w:t>
        <w:br/>
        <w:t>possible development of diabetes.</w:t>
        <w:br/>
        <w:t>Since our 1993 report3 additional SMS patients now have</w:t>
        <w:br/>
        <w:t>diabetes. All 3 patients had DQB1*0201 and 2 lacked *06</w:t>
        <w:br/>
        <w:t>alleles. Diabetes has thus now developed in 7 of 8 SMS</w:t>
        <w:br/>
        <w:t>patients lacking a *06 allele and in 3 of 10 with a *06 allele</w:t>
        <w:br/>
        <w:t>(p=002). 10 of 13 SMS patients with 1*0201 have diabetes</w:t>
        <w:br/>
        <w:t>versus 3 of 10 of those with a *06 allele (p=003).</w:t>
        <w:br/>
        <w:t>Moreover, we have recently found that first-degree</w:t>
        <w:br/>
        <w:t>relatives of IDDM patients with *0602 and SMS-like GAD</w:t>
        <w:br/>
        <w:t>autoantibodies are at very low risk of diabetes.4 Perhaps an</w:t>
        <w:br/>
        <w:t>SMS-like-anti-GAD response is associated with different</w:t>
        <w:br/>
        <w:t>rates of progression to overt diabetes depending on the HLA</w:t>
        <w:br/>
        <w:t>genetic background. Diabetes may develop very slowly or</w:t>
        <w:br/>
        <w:t>not at all in individuals with a subset of anti-GAD</w:t>
        <w:br/>
        <w:t>autoantibodies and IDDM-protective DQB1 alleles. We</w:t>
        <w:br/>
        <w:t>suggest that DQB1*0602 (and other sequence-related *06</w:t>
        <w:br/>
        <w:t>alleles) confers protection from diabetes in patients with</w:t>
        <w:br/>
        <w:t>SMS and relatives of patients with IDDM despite anti-GAD</w:t>
        <w:br/>
        <w:t>autoantibodies. By contrast, among SMS patients, 1*0201 is</w:t>
        <w:br/>
        <w:t>associated with high risk of diabetes, especially when</w:t>
        <w:br/>
        <w:t>protective *06 alleles are absent.</w:t>
        <w:br/>
        <w:t>Alberto Pugliese, Roberto Gianani, George S Eisenbarth,</w:t>
        <w:br/>
        <w:t>Pietro De Camilli, Michele Solimena</w:t>
        <w:br/>
        <w:t>Diabetes Research Institute, University of Miami Medical School, Miami, FL 33136,</w:t>
        <w:br/>
        <w:t>USA; Barbara Davis Center for Childhood Diabetes, Denver; Department of Cell</w:t>
        <w:br/>
        <w:t>Biology, Howard Hughes Medical Institute Research Laboratories, Yale University</w:t>
        <w:br/>
        <w:t>School of Medicine, New Haven; and Department of Internal Medicine, Yale</w:t>
        <w:br/>
        <w:t>University School of Medicine</w:t>
        <w:br/>
        <w:t>1 Solimena M, Folli F, Aparisi R, Pozza G, DeCamilli P. Autoantibodies</w:t>
        <w:br/>
        <w:t>to GABA-ergic neurons and pancreatic beta cells in stiff-man</w:t>
        <w:br/>
        <w:t>syndrome. N Engl J Med 1990; 322: 1555-60.</w:t>
        <w:br/>
        <w:t>2 Butler MH, Solimena M, Dirkx R, Hayday A, De Camilli P.</w:t>
        <w:br/>
        <w:t>Identification of a dominant epitope of glutamic acid decarboxylase</w:t>
        <w:br/>
        <w:t>(GAD 65) recognized by autoantibodies in stiff-man syndrome. J Exp</w:t>
        <w:br/>
        <w:t>Med 1993; 178: 2097-106.</w:t>
        <w:br/>
        <w:t>3 Pugliese A, Solimena M, Awdeh ZL, et al. Association of</w:t>
        <w:br/>
        <w:t>HLA-DQB1*0201 with stiff-man syndrome. J Clin Endocrinol Metab</w:t>
        <w:br/>
        <w:t>1993; 77: 1550-53.</w:t>
        <w:br/>
        <w:t>4 Gianani R, Pugliese A, Bonne-Weir S, et al. Prognostically significant</w:t>
        <w:br/>
        <w:t>heterogeneity of cytoplasmic islet cell antibodies in relatives of patients</w:t>
        <w:br/>
        <w:t>with type I diabetes. Diabetes 1992; 41: 347-53.</w:t>
        <w:br/>
        <w:t>Colitis associated with non-steroidal anti-</w:t>
        <w:br/>
        <w:t>inflammatory drugs</w:t>
        <w:br/>
        <w:t>SIR-The dangers of upper gastrointestinal side-effects of</w:t>
        <w:br/>
        <w:t>non-steroidal anti-inflammatory drugs (NSAIDs) are well</w:t>
        <w:br/>
        <w:t>known,’ but the capacity of these agents to injure colonic</w:t>
        <w:br/>
        <w:t>mucosa (ie, NSAID-associated colitis2) remains</w:t>
        <w:br/>
        <w:t>unrecognised by many gastroenterologists. A recent editorial</w:t>
        <w:br/>
        <w:t xml:space="preserve">on the aetiology of colitis made no specific reference. </w:t>
        <w:br/>
        <w:t>3</w:t>
        <w:br/>
        <w:t>Between March, 1991, and June, 1994, we saw 60 new</w:t>
        <w:br/>
        <w:t>cases of proctitis, proctocolitis, and colitis and in 23 (38%)</w:t>
        <w:br/>
        <w:t>colitis had developed while the patient was taking an</w:t>
        <w:br/>
        <w:t>NSAID. This came to light as a result of exhaustive drug</w:t>
        <w:br/>
        <w:t>histories. We included a thorough inquiry into analgesic</w:t>
        <w:br/>
        <w:t>usage by listing names of possible NSAID. We also asked</w:t>
        <w:br/>
        <w:t>about over-the-counter consumption. None of the 23</w:t>
        <w:br/>
        <w:t>patients had pre-existing inflammatory bowel disease that</w:t>
        <w:br/>
        <w:t>could have been exacerbated by NSAID ingestion.</w:t>
        <w:br/>
        <w:t>All patients presented with diarrhoea, with or without</w:t>
        <w:br/>
        <w:t>blood loss per rectum, and all had negative stool cultures.</w:t>
        <w:br/>
        <w:t>The diagnosis was established by colonoscopy within 7 days</w:t>
        <w:br/>
        <w:t>of presentation. The use of the colonoscope rather than a</w:t>
        <w:br/>
        <w:t>rigid sigmoidoscope is of particular relevance since NSAID-</w:t>
        <w:br/>
        <w:t>associated colitis frequently spares the rectum. The mean</w:t>
        <w:br/>
        <w:t>age of patients with NSAID-associated colitis was 53, with a</w:t>
        <w:br/>
        <w:t>range of 23-79.</w:t>
        <w:br/>
        <w:t>A wide variety of NSAIDs were implicated but diclofenac</w:t>
        <w:br/>
        <w:t>(12 cases) and mefenamic acid (5 cases) were the</w:t>
        <w:br/>
        <w:t>commonest. The NSAID had usually been taken orally but</w:t>
        <w:br/>
        <w:t>colitis was seen after rectal and intramuscular administration</w:t>
        <w:br/>
        <w:t>and could occur within a few days of therapy.</w:t>
        <w:br/>
        <w:t>Endoscopic appearances varied from a mild patchy non-</w:t>
        <w:br/>
        <w:t>ulcerative colitis with areas of punctate erythema and</w:t>
        <w:br/>
        <w:t>mucosal oedema to a picture indistinguishable from</w:t>
        <w:br/>
        <w:t>fulminating ulcerative colitis. Histological findings were non-</w:t>
        <w:br/>
        <w:t>specific, though ulceration and crypt abscesses were</w:t>
        <w:br/>
        <w:t>frequent. Granuloma formation was not seen.</w:t>
        <w:br/>
        <w:t>NSAID-associated colitis was frequently mild and rapidly</w:t>
        <w:br/>
        <w:t>improved on withdrawal of the drug and a 4-8 week course</w:t>
        <w:br/>
        <w:t>of oral sulphasalazine or mesalazine (5-aminosalicylic acid).</w:t>
        <w:br/>
        <w:t>More severe cases received systemic and topical steroids,</w:t>
        <w:br/>
        <w:t>and 1 patient required colectomy for a fulminating colitis</w:t>
        <w:br/>
        <w:t>and toxic megacolon after intramuscular diclofenac. On the</w:t>
        <w:br/>
        <w:t>whole, however, a patient with NSAID colitis will have a</w:t>
        <w:br/>
        <w:t>very good chance of full recovery. So far there have been no</w:t>
        <w:br/>
        <w:t>spontaneous relapses among the 23 patients; 1 had a</w:t>
        <w:br/>
        <w:t>recurrence of colitis after inadvertent re-exposure to an</w:t>
        <w:br/>
        <w:t>NSAID.</w:t>
        <w:br/>
        <w:t>NSAID-associated colitis seems to be an under-recognised</w:t>
        <w:br/>
        <w:t>but common form of colonic disease. We suggest taking a</w:t>
        <w:br/>
        <w:t>thorough drug history in every new case of colitis. Once</w:t>
        <w:br/>
        <w:t>NSAID-associated colitis is recognised a reassuring</w:t>
        <w:br/>
        <w:t>prognosis can be given to the patient. Long-term prophylaxis</w:t>
        <w:br/>
        <w:t>with sulphasalazine or mesalazine seems unnecessary. The</w:t>
        <w:br/>
        <w:t>psychological benefits for patients of knowing they do not</w:t>
        <w:br/>
        <w:t>have a chronic disease with the likelihood of relapse and the</w:t>
        <w:br/>
        <w:t>possible long-term risk of cancer are obvious. The cost</w:t>
        <w:br/>
        <w:t>saving in the avoidance of regular follow-up and life-long</w:t>
        <w:br/>
        <w:t>drug taking could be considerable.</w:t>
        <w:br/>
        <w:t>Michael Gleeson, Duncan Ramsay, Stuart Hutchinson,</w:t>
        <w:br/>
        <w:t>David Spencer, Gregory Monteith</w:t>
        <w:br/>
        <w:t>Departments of Gastroenterology and Histopathology, General Hospital, Jersey,</w:t>
        <w:br/>
        <w:t>Channel Islands JE2 3QS</w:t>
        <w:br/>
        <w:t>1 Somerville K, Faulkner G, Langman M. Non-steroidal</w:t>
        <w:br/>
        <w:t>anti-inflammatary drugs and bleeding peptic ulcer. Lancet 1986; i:</w:t>
        <w:br/>
        <w:t>462-66.</w:t>
        <w:br/>
        <w:t>2 Gibson GR, Whitacre EB, Ricotti CA. Colitis induced by non-</w:t>
        <w:br/>
        <w:t>steroidal anti-inflammatory drugs: report of four cases and review of</w:t>
        <w:br/>
        <w:t>the literature. Arch Intern Med 1992; 152: 625-32.</w:t>
        <w:br/>
        <w:t>3 Ferguson A. Ulcerative colitis and Crohn’s disease: important</w:t>
        <w:br/>
        <w:t>and disabling disease, still underresearched. BMJ 1994; 309:</w:t>
        <w:br/>
        <w:t>355.</w:t>
        <w:br/>
        <w:t>4 Kaufmann HJ, Taubin HL. Non-steroidal anti-inflammatory drugs</w:t>
        <w:br/>
        <w:t>activate quiescent inflammatory bowel disease. Ann Intern Med 1987;</w:t>
        <w:br/>
        <w:t>107: 513-16.</w:t>
        <w:br/>
        <w:t>Nosocomial HIV-1 transmission and primary</w:t>
        <w:br/>
        <w:t>prevention in Romania</w:t>
        <w:br/>
        <w:t>SiR-Blank and colleagues (Aug 20, p 512) report the</w:t>
        <w:br/>
        <w:t>possibility of patient-to-patient transmission of HIV during</w:t>
        <w:br/>
        <w:t>medical care in a paediatric unit. The HIV epidemic among</w:t>
        <w:br/>
        <w:t>Romanian children has already been attributed to</w:t>
        <w:br/>
        <w:t>nosocomial transmission." Since previous reports involved</w:t>
        <w:br/>
        <w:t>cross-sectional studies, we started a seroepidemiologic</w:t>
        <w:br/>
        <w:t>survey in 1992 in northeast Romania to establish the</w:t>
        <w:br/>
        <w:t>prevalence and incidence of HIV infection in life-care</w:t>
        <w:br/>
        <w:t>institutions for orphans and abandoned children. In 1992,</w:t>
      </w:r>
    </w:p>
    <w:sectPr/>
  </w:body>
</w:document>
</file>

<file path=word/styles.xml><?xml version="1.0" encoding="utf-8"?>
<w:styles xmlns:w="http://schemas.openxmlformats.org/wordprocessingml/2006/main" xmlns:r="http://schemas.openxmlformats.org/officeDocument/2006/relationships">
  <w:style w:type="paragraph" w:styleId="Normal">
    <w:name w:val="Normal"/>
    <w:rPr>
      <w:sz w:val="22"/>
    </w:rPr>
  </w:style>
  <w:style w:type="paragraph" w:styleId="Title">
    <w:name w:val="Title"/>
    <w:rPr>
      <w:b/>
      <w:sz w:val="32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4"/>
    </w:rPr>
  </w:style>
</w:styles>
</file>

<file path=word/_rels/document.xml.rels><?xml version='1.0' encoding='UTF-8' standalone='yes'?>
<Relationships xmlns="http://schemas.openxmlformats.org/package/2006/relationships"><Relationship Id="rIdStyles" Type="http://schemas.openxmlformats.org/officeDocument/2006/relationships/styles" Target="styles.xml"/></Relationships>
</file>