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Supervision Meeting — Introduction, Literature Review, Methodology</w:t>
      </w:r>
    </w:p>
    <w:p>
      <w:pPr>
        <w:pStyle w:val="Subtitle"/>
      </w:pPr>
      <w:r>
        <w:t xml:space="preserve">Preparation and feedback-capture document · 30 June 2026</w:t>
      </w:r>
    </w:p>
    <w:p>
      <w:pPr>
        <w:pStyle w:val="Author"/>
      </w:pPr>
      <w:r>
        <w:t xml:space="preserve">Enrico Manfron</w:t>
      </w:r>
    </w:p>
    <w:bookmarkStart w:id="9" w:name="purpose-of-this-document"/>
    <w:p>
      <w:pPr>
        <w:pStyle w:val="Heading1"/>
      </w:pPr>
      <w:r>
        <w:t xml:space="preserve">Purpose of this document</w:t>
      </w:r>
    </w:p>
    <w:p>
      <w:pPr>
        <w:pStyle w:val="FirstParagraph"/>
      </w:pPr>
      <w:r>
        <w:t xml:space="preserve">This meeting covers</w:t>
      </w:r>
      <w:r>
        <w:t xml:space="preserve"> </w:t>
      </w:r>
      <w:r>
        <w:rPr>
          <w:b/>
          <w:bCs/>
        </w:rPr>
        <w:t xml:space="preserve">three chapters</w:t>
      </w:r>
      <w:r>
        <w:t xml:space="preserve">:</w:t>
      </w:r>
      <w:r>
        <w:t xml:space="preserve"> </w:t>
      </w:r>
      <w:r>
        <w:rPr>
          <w:b/>
          <w:bCs/>
        </w:rPr>
        <w:t xml:space="preserve">Chapter 1 — Introduction</w:t>
      </w:r>
      <w:r>
        <w:t xml:space="preserve">,</w:t>
      </w:r>
      <w:r>
        <w:t xml:space="preserve"> </w:t>
      </w:r>
      <w:r>
        <w:rPr>
          <w:b/>
          <w:bCs/>
        </w:rPr>
        <w:t xml:space="preserve">Chapter 2 — Literature Review</w:t>
      </w:r>
      <w:r>
        <w:t xml:space="preserve">,</w:t>
      </w:r>
      <w:r>
        <w:t xml:space="preserve"> </w:t>
      </w:r>
      <w:r>
        <w:rPr>
          <w:b/>
          <w:bCs/>
        </w:rPr>
        <w:t xml:space="preserve">Chapter 3 — Methodology</w:t>
      </w:r>
      <w:r>
        <w:t xml:space="preserve">. This document explains, as concise points,</w:t>
      </w:r>
      <w:r>
        <w:t xml:space="preserve"> </w:t>
      </w:r>
      <w:r>
        <w:rPr>
          <w:b/>
          <w:bCs/>
        </w:rPr>
        <w:t xml:space="preserve">what we did and how we set it up</w:t>
      </w:r>
      <w:r>
        <w:t xml:space="preserve">, with a few figures, and leaves room to</w:t>
      </w:r>
      <w:r>
        <w:t xml:space="preserve"> </w:t>
      </w:r>
      <w:r>
        <w:rPr>
          <w:b/>
          <w:bCs/>
        </w:rPr>
        <w:t xml:space="preserve">record your feedback</w:t>
      </w:r>
      <w:r>
        <w:t xml:space="preserve"> </w:t>
      </w:r>
      <w:r>
        <w:t xml:space="preserve">(the</w:t>
      </w:r>
      <w:r>
        <w:t xml:space="preserve"> </w:t>
      </w:r>
      <w:r>
        <w:rPr>
          <w:i/>
          <w:iCs/>
        </w:rPr>
        <w:t xml:space="preserve">To discuss / Feedback</w:t>
      </w:r>
      <w:r>
        <w:t xml:space="preserve"> </w:t>
      </w:r>
      <w:r>
        <w:t xml:space="preserve">boxes).</w:t>
      </w:r>
    </w:p>
    <w:p>
      <w:r>
        <w:pict>
          <v:rect style="width:0;height:1.5pt" o:hralign="center" o:hrstd="t" o:hr="t"/>
        </w:pict>
      </w:r>
    </w:p>
    <w:bookmarkEnd w:id="9"/>
    <w:bookmarkStart w:id="10" w:name="the-thesis-in-one-sentence"/>
    <w:p>
      <w:pPr>
        <w:pStyle w:val="Heading1"/>
      </w:pPr>
      <w:r>
        <w:t xml:space="preserve">The thesis in one sentence</w:t>
      </w:r>
    </w:p>
    <w:p>
      <w:pPr>
        <w:pStyle w:val="FirstParagraph"/>
      </w:pPr>
      <w:r>
        <w:t xml:space="preserve">Extend a production</w:t>
      </w:r>
      <w:r>
        <w:t xml:space="preserve"> </w:t>
      </w:r>
      <w:r>
        <w:rPr>
          <w:b/>
          <w:bCs/>
        </w:rPr>
        <w:t xml:space="preserve">agentic</w:t>
      </w:r>
      <w:r>
        <w:t xml:space="preserve"> </w:t>
      </w:r>
      <w:r>
        <w:t xml:space="preserve">system that today is purely</w:t>
      </w:r>
      <w:r>
        <w:t xml:space="preserve"> </w:t>
      </w:r>
      <w:r>
        <w:rPr>
          <w:b/>
          <w:bCs/>
        </w:rPr>
        <w:t xml:space="preserve">descriptive</w:t>
      </w:r>
      <w:r>
        <w:t xml:space="preserve"> </w:t>
      </w:r>
      <w:r>
        <w:t xml:space="preserve">(it reports</w:t>
      </w:r>
      <w:r>
        <w:t xml:space="preserve"> </w:t>
      </w:r>
      <w:r>
        <w:rPr>
          <w:i/>
          <w:iCs/>
        </w:rPr>
        <w:t xml:space="preserve">what happened</w:t>
      </w:r>
      <w:r>
        <w:t xml:space="preserve">) with a</w:t>
      </w:r>
      <w:r>
        <w:t xml:space="preserve"> </w:t>
      </w:r>
      <w:r>
        <w:rPr>
          <w:b/>
          <w:bCs/>
        </w:rPr>
        <w:t xml:space="preserve">lightweight forecasting substrate</w:t>
      </w:r>
      <w:r>
        <w:t xml:space="preserve">, so that it can provide</w:t>
      </w:r>
      <w:r>
        <w:t xml:space="preserve"> </w:t>
      </w:r>
      <w:r>
        <w:rPr>
          <w:b/>
          <w:bCs/>
        </w:rPr>
        <w:t xml:space="preserve">forecast-informed</w:t>
      </w:r>
      <w:r>
        <w:t xml:space="preserve"> </w:t>
      </w:r>
      <w:r>
        <w:t xml:space="preserve">decisions that are reliable and cost-justified,</w:t>
      </w:r>
      <w:r>
        <w:t xml:space="preserve"> </w:t>
      </w:r>
      <w:r>
        <w:rPr>
          <w:b/>
          <w:bCs/>
        </w:rPr>
        <w:t xml:space="preserve">within a ~8 GB RAM budget</w:t>
      </w:r>
      <w:r>
        <w:t xml:space="preserve">. The artefact has</w:t>
      </w:r>
      <w:r>
        <w:t xml:space="preserve"> </w:t>
      </w:r>
      <w:r>
        <w:rPr>
          <w:b/>
          <w:bCs/>
        </w:rPr>
        <w:t xml:space="preserve">three layers</w:t>
      </w:r>
      <w:r>
        <w:t xml:space="preserve">: (1) a substrate of lightweight models → (2) a typed forecast-tool interface → (3) a bounded LLM agent. It is compared against a</w:t>
      </w:r>
      <w:r>
        <w:t xml:space="preserve"> </w:t>
      </w:r>
      <w:r>
        <w:rPr>
          <w:b/>
          <w:bCs/>
        </w:rPr>
        <w:t xml:space="preserve">code-as-action baseline</w:t>
      </w:r>
      <w:r>
        <w:t xml:space="preserve"> </w:t>
      </w:r>
      <w:r>
        <w:t xml:space="preserve">(an LLM that writes and executes its own forecasting code).</w:t>
      </w:r>
    </w:p>
    <w:p>
      <w:r>
        <w:pict>
          <v:rect style="width:0;height:1.5pt" o:hralign="center" o:hrstd="t" o:hr="t"/>
        </w:pict>
      </w:r>
    </w:p>
    <w:bookmarkEnd w:id="10"/>
    <w:bookmarkStart w:id="18" w:name="chapter-1-introduction"/>
    <w:p>
      <w:pPr>
        <w:pStyle w:val="Heading1"/>
      </w:pPr>
      <w:r>
        <w:t xml:space="preserve">Chapter 1 — Introduction</w:t>
      </w:r>
    </w:p>
    <w:bookmarkStart w:id="11" w:name="what-it-argues"/>
    <w:p>
      <w:pPr>
        <w:pStyle w:val="Heading2"/>
      </w:pPr>
      <w:r>
        <w:t xml:space="preserve">What it argues</w:t>
      </w:r>
    </w:p>
    <w:p>
      <w:pPr>
        <w:pStyle w:val="Compact"/>
        <w:numPr>
          <w:ilvl w:val="0"/>
          <w:numId w:val="1001"/>
        </w:numPr>
      </w:pPr>
      <w:r>
        <w:t xml:space="preserve">The shift of BI systems from</w:t>
      </w:r>
      <w:r>
        <w:t xml:space="preserve"> </w:t>
      </w:r>
      <w:r>
        <w:rPr>
          <w:b/>
          <w:bCs/>
        </w:rPr>
        <w:t xml:space="preserve">descriptive</w:t>
      </w:r>
      <w:r>
        <w:t xml:space="preserve"> </w:t>
      </w:r>
      <w:r>
        <w:t xml:space="preserve">(dashboards, KPIs, historical trends) to</w:t>
      </w:r>
      <w:r>
        <w:t xml:space="preserve"> </w:t>
      </w:r>
      <w:r>
        <w:rPr>
          <w:b/>
          <w:bCs/>
        </w:rPr>
        <w:t xml:space="preserve">forecast-informed</w:t>
      </w:r>
      <w:r>
        <w:t xml:space="preserve"> </w:t>
      </w:r>
      <w:r>
        <w:t xml:space="preserve">(what will happen and what to do).</w:t>
      </w:r>
    </w:p>
    <w:p>
      <w:pPr>
        <w:pStyle w:val="Compact"/>
        <w:numPr>
          <w:ilvl w:val="0"/>
          <w:numId w:val="1001"/>
        </w:numPr>
      </w:pPr>
      <w:r>
        <w:t xml:space="preserve">Why</w:t>
      </w:r>
      <w:r>
        <w:t xml:space="preserve"> </w:t>
      </w:r>
      <w:r>
        <w:rPr>
          <w:b/>
          <w:bCs/>
        </w:rPr>
        <w:t xml:space="preserve">FMCG beverages</w:t>
      </w:r>
      <w:r>
        <w:t xml:space="preserve"> </w:t>
      </w:r>
      <w:r>
        <w:t xml:space="preserve">are a hard, representative test bed: volatility, promotions, seasonality, SKU proliferation; erratic and intermittent demand.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constraint the literature ignores</w:t>
      </w:r>
      <w:r>
        <w:t xml:space="preserve">: an SME cannot afford expensive GPUs;</w:t>
      </w:r>
      <w:r>
        <w:t xml:space="preserve"> </w:t>
      </w:r>
      <w:r>
        <w:rPr>
          <w:b/>
          <w:bCs/>
        </w:rPr>
        <w:t xml:space="preserve">~8 GB RAM</w:t>
      </w:r>
      <w:r>
        <w:t xml:space="preserve"> </w:t>
      </w:r>
      <w:r>
        <w:t xml:space="preserve">is the realistic budget, and it rules out transformers and locally hosted LLMs up front.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case</w:t>
      </w:r>
      <w:r>
        <w:t xml:space="preserve">: Manifold AI / Prometheus, an agentic system in production but descriptive only → it is both the motivation and the empirical case.</w:t>
      </w:r>
    </w:p>
    <w:bookmarkEnd w:id="11"/>
    <w:bookmarkStart w:id="12" w:name="how-it-is-structured-1.11.5"/>
    <w:p>
      <w:pPr>
        <w:pStyle w:val="Heading2"/>
      </w:pPr>
      <w:r>
        <w:t xml:space="preserve">How it is structured (§1.1–§1.5)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§1.1 Background &amp; Motivation</w:t>
      </w:r>
      <w:r>
        <w:t xml:space="preserve"> </w:t>
      </w:r>
      <w:r>
        <w:t xml:space="preserve">— the descriptive → forecast-informed transition, the FMCG case, the computational constraint, the gap in the agentic literature, the Danish context.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§1.2 Research Problem</w:t>
      </w:r>
      <w:r>
        <w:t xml:space="preserve"> </w:t>
      </w:r>
      <w:r>
        <w:t xml:space="preserve">— the</w:t>
      </w:r>
      <w:r>
        <w:t xml:space="preserve"> </w:t>
      </w:r>
      <w:r>
        <w:rPr>
          <w:b/>
          <w:bCs/>
        </w:rPr>
        <w:t xml:space="preserve">four problems</w:t>
      </w:r>
      <w:r>
        <w:t xml:space="preserve"> </w:t>
      </w:r>
      <w:r>
        <w:t xml:space="preserve">of the predictive extension: accuracy within budget; a typed interface (reliability, uncertainty, traceability); the production system’s capability to integrate it; beating the code-as-action baseline.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§1.3 Research Questions</w:t>
      </w:r>
      <w:r>
        <w:t xml:space="preserve"> </w:t>
      </w:r>
      <w:r>
        <w:t xml:space="preserve">— Main RQ + SRQ1–4 (figure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§1.4 Delimitation</w:t>
      </w:r>
      <w:r>
        <w:t xml:space="preserve"> </w:t>
      </w:r>
      <w:r>
        <w:t xml:space="preserve">— scope boundaries (domain, 8 GB constraint, monthly batch, research prototype, generalisability).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§1.5 Thesis Structure</w:t>
      </w:r>
      <w:r>
        <w:t xml:space="preserve"> </w:t>
      </w:r>
      <w:r>
        <w:t xml:space="preserve">— the chapters mapped onto the DSR process.</w:t>
      </w:r>
    </w:p>
    <w:bookmarkEnd w:id="12"/>
    <w:bookmarkStart w:id="13" w:name="key-choices-set-here"/>
    <w:p>
      <w:pPr>
        <w:pStyle w:val="Heading2"/>
      </w:pPr>
      <w:r>
        <w:t xml:space="preserve">Key choices set here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Main RQ is</w:t>
      </w:r>
      <w:r>
        <w:rPr>
          <w:b/>
          <w:bCs/>
        </w:rPr>
        <w:t xml:space="preserve"> </w:t>
      </w:r>
      <w:r>
        <w:rPr>
          <w:b/>
          <w:bCs/>
        </w:rPr>
        <w:t xml:space="preserve">“cost-justified”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SRQ4 baseline = code-as-action LLM</w:t>
      </w:r>
      <w:r>
        <w:t xml:space="preserve"> </w:t>
      </w:r>
      <w:r>
        <w:t xml:space="preserve">(the v4 reframe, aligned with Manifold).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8 GB constraint</w:t>
      </w:r>
      <w:r>
        <w:t xml:space="preserve"> </w:t>
      </w:r>
      <w:r>
        <w:t xml:space="preserve">is treated as a</w:t>
      </w:r>
      <w:r>
        <w:t xml:space="preserve"> </w:t>
      </w:r>
      <w:r>
        <w:rPr>
          <w:b/>
          <w:bCs/>
        </w:rPr>
        <w:t xml:space="preserve">formal design criterion</w:t>
      </w:r>
      <w:r>
        <w:t xml:space="preserve">, not a convenience.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Four</w:t>
      </w:r>
      <w:r>
        <w:t xml:space="preserve"> </w:t>
      </w:r>
      <w:r>
        <w:t xml:space="preserve">beverage categories (CSD, danskvand, energidrikke, RTD);</w:t>
      </w:r>
      <w:r>
        <w:t xml:space="preserve"> </w:t>
      </w:r>
      <w:r>
        <w:rPr>
          <w:b/>
          <w:bCs/>
        </w:rPr>
        <w:t xml:space="preserve">beer (totalbeer) excluded</w:t>
      </w:r>
      <w:r>
        <w:t xml:space="preserve"> </w:t>
      </w:r>
      <w:r>
        <w:t xml:space="preserve">because its facts are absent at source.</w:t>
      </w:r>
      <w:r>
        <w:t xml:space="preserve"> </w:t>
      </w:r>
      <w:r>
        <w:rPr>
          <w:b/>
          <w:bCs/>
        </w:rPr>
        <w:t xml:space="preserve">CSD</w:t>
      </w:r>
      <w:r>
        <w:t xml:space="preserve"> </w:t>
      </w:r>
      <w:r>
        <w:t xml:space="preserve">is the worked category.</w:t>
      </w:r>
    </w:p>
    <w:bookmarkEnd w:id="13"/>
    <w:bookmarkStart w:id="17" w:name="the-research-questions"/>
    <w:p>
      <w:pPr>
        <w:pStyle w:val="Heading2"/>
      </w:pPr>
      <w:r>
        <w:t xml:space="preserve">The Research Questions</w:t>
      </w:r>
    </w:p>
    <w:p>
      <w:pPr>
        <w:pStyle w:val="CaptionedFigure"/>
      </w:pPr>
      <w:r>
        <w:drawing>
          <wp:inline>
            <wp:extent cx="4754880" cy="1814362"/>
            <wp:effectExtent b="0" l="0" r="0" t="0"/>
            <wp:docPr descr="Structure of the research questions: the Main RQ and its four sub-questions (SRQ1–SRQ4)." title="" id="15" name="Picture"/>
            <a:graphic>
              <a:graphicData uri="http://schemas.openxmlformats.org/drawingml/2006/picture">
                <pic:pic>
                  <pic:nvPicPr>
                    <pic:cNvPr descr="figures/ch1_research_questions_tree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814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Structure of the research questions: the Main RQ and its four sub-questions (SRQ1–SRQ4).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Main RQ</w:t>
      </w:r>
      <w:r>
        <w:t xml:space="preserve"> </w:t>
      </w:r>
      <w:r>
        <w:t xml:space="preserve">— How can non-predictive agentic systems be extended with lightweight forecasting to support reliable, forecast-informed and cost-justified decisions under computational constraints?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SRQ1</w:t>
      </w:r>
      <w:r>
        <w:t xml:space="preserve"> </w:t>
      </w:r>
      <w:r>
        <w:t xml:space="preserve">— Which lightweight models give the best accuracy / memory / category-specialisation trade-off?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SRQ2</w:t>
      </w:r>
      <w:r>
        <w:t xml:space="preserve"> </w:t>
      </w:r>
      <w:r>
        <w:t xml:space="preserve">— How to expose forecasts to the agent through a structured interface that preserves reliability, uncertainty and traceability?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SRQ3</w:t>
      </w:r>
      <w:r>
        <w:t xml:space="preserve"> </w:t>
      </w:r>
      <w:r>
        <w:t xml:space="preserve">— What capabilities does a production system need to integrate forecast support?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SRQ4</w:t>
      </w:r>
      <w:r>
        <w:t xml:space="preserve"> </w:t>
      </w:r>
      <w:r>
        <w:t xml:space="preserve">— Does a dedicated model improve correctness/consistency/replicability (at justified cost/latency) over a code-as-action LLM?</w:t>
      </w:r>
    </w:p>
    <w:p>
      <w:pPr>
        <w:pStyle w:val="BlockText"/>
      </w:pPr>
      <w:r>
        <w:rPr>
          <w:b/>
          <w:bCs/>
        </w:rPr>
        <w:t xml:space="preserve">🗨 To discuss / Supervisor feedback (Ch. 1):</w:t>
      </w:r>
    </w:p>
    <w:p>
      <w:pPr>
        <w:pStyle w:val="Block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5" w:name="chapter-2-literature-review"/>
    <w:p>
      <w:pPr>
        <w:pStyle w:val="Heading1"/>
      </w:pPr>
      <w:r>
        <w:t xml:space="preserve">Chapter 2 — Literature Review</w:t>
      </w:r>
    </w:p>
    <w:bookmarkStart w:id="19" w:name="how-we-set-it-up"/>
    <w:p>
      <w:pPr>
        <w:pStyle w:val="Heading2"/>
      </w:pPr>
      <w:r>
        <w:t xml:space="preserve">How we set it up</w:t>
      </w:r>
    </w:p>
    <w:p>
      <w:pPr>
        <w:pStyle w:val="Compact"/>
        <w:numPr>
          <w:ilvl w:val="0"/>
          <w:numId w:val="1005"/>
        </w:numPr>
      </w:pPr>
      <w:r>
        <w:t xml:space="preserve">It is a</w:t>
      </w:r>
      <w:r>
        <w:t xml:space="preserve"> </w:t>
      </w:r>
      <w:r>
        <w:rPr>
          <w:b/>
          <w:bCs/>
        </w:rPr>
        <w:t xml:space="preserve">narrative, integrative review</w:t>
      </w:r>
      <w:r>
        <w:t xml:space="preserve">, not a systematic one: the contribution lies at the</w:t>
      </w:r>
      <w:r>
        <w:t xml:space="preserve"> </w:t>
      </w:r>
      <w:r>
        <w:rPr>
          <w:b/>
          <w:bCs/>
        </w:rPr>
        <w:t xml:space="preserve">intersection of several literatures</w:t>
      </w:r>
      <w:r>
        <w:t xml:space="preserve">, so we make bodies of work that normally do not speak to each other speak, rather than answering a single effectiveness question with a rigid protocol.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traceable but flexible method</w:t>
      </w:r>
      <w:r>
        <w:t xml:space="preserve">: Google Scholar + NotebookLM + Zotero; ~100 records screened by title → ~40 read in full →</w:t>
      </w:r>
      <w:r>
        <w:t xml:space="preserve"> </w:t>
      </w:r>
      <w:r>
        <w:rPr>
          <w:b/>
          <w:bCs/>
        </w:rPr>
        <w:t xml:space="preserve">39 cited sources</w:t>
      </w:r>
      <w:r>
        <w:t xml:space="preserve"> </w:t>
      </w:r>
      <w:r>
        <w:t xml:space="preserve">(15 preprints, flagged as such).</w:t>
      </w:r>
    </w:p>
    <w:p>
      <w:pPr>
        <w:pStyle w:val="Compact"/>
        <w:numPr>
          <w:ilvl w:val="0"/>
          <w:numId w:val="1005"/>
        </w:numPr>
      </w:pPr>
      <w:r>
        <w:t xml:space="preserve">Throughout, a distinction is kept between what the</w:t>
      </w:r>
      <w:r>
        <w:t xml:space="preserve"> </w:t>
      </w:r>
      <w:r>
        <w:rPr>
          <w:b/>
          <w:bCs/>
        </w:rPr>
        <w:t xml:space="preserve">literature establishes</w:t>
      </w:r>
      <w:r>
        <w:t xml:space="preserve"> </w:t>
      </w:r>
      <w:r>
        <w:t xml:space="preserve">and what the</w:t>
      </w:r>
      <w:r>
        <w:t xml:space="preserve"> </w:t>
      </w:r>
      <w:r>
        <w:rPr>
          <w:b/>
          <w:bCs/>
        </w:rPr>
        <w:t xml:space="preserve">thesis designs / plans to evaluate / leaves to future work</w:t>
      </w:r>
      <w:r>
        <w:t xml:space="preserve">.</w:t>
      </w:r>
    </w:p>
    <w:bookmarkEnd w:id="19"/>
    <w:bookmarkStart w:id="20" w:name="the-eight-thematic-sections"/>
    <w:p>
      <w:pPr>
        <w:pStyle w:val="Heading2"/>
      </w:pPr>
      <w:r>
        <w:t xml:space="preserve">The eight thematic sections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§2.1 Forecasting as substrate (FMCG)</w:t>
      </w:r>
      <w:r>
        <w:t xml:space="preserve"> </w:t>
      </w:r>
      <w:r>
        <w:t xml:space="preserve">— M4/M5, LightGBM, exogenous features; no single model dominates (Ma 2025);</w:t>
      </w:r>
      <w:r>
        <w:t xml:space="preserve"> </w:t>
      </w:r>
      <w:r>
        <w:rPr>
          <w:b/>
          <w:bCs/>
        </w:rPr>
        <w:t xml:space="preserve">stability</w:t>
      </w:r>
      <w:r>
        <w:t xml:space="preserve"> </w:t>
      </w:r>
      <w:r>
        <w:t xml:space="preserve">as a production criterion alongside accuracy (Klee &amp; Xia 2025).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§2.2 Lightweight ML under constraints</w:t>
      </w:r>
      <w:r>
        <w:t xml:space="preserve"> </w:t>
      </w:r>
      <w:r>
        <w:t xml:space="preserve">— efficiency as a binding constraint; Ng (2017) as a</w:t>
      </w:r>
      <w:r>
        <w:t xml:space="preserve"> </w:t>
      </w:r>
      <w:r>
        <w:rPr>
          <w:i/>
          <w:iCs/>
        </w:rPr>
        <w:t xml:space="preserve">precedent</w:t>
      </w:r>
      <w:r>
        <w:t xml:space="preserve"> </w:t>
      </w:r>
      <w:r>
        <w:t xml:space="preserve">on memory; clarified that</w:t>
      </w:r>
      <w:r>
        <w:t xml:space="preserve"> </w:t>
      </w:r>
      <w:r>
        <w:rPr>
          <w:b/>
          <w:bCs/>
        </w:rPr>
        <w:t xml:space="preserve">the binding constraint here is deployment cost, not data size</w:t>
      </w:r>
      <w:r>
        <w:t xml:space="preserve"> </w:t>
      </w:r>
      <w:r>
        <w:t xml:space="preserve">(after aggregation the data is small).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§2.3 From descriptive BI to forecast-informed</w:t>
      </w:r>
      <w:r>
        <w:t xml:space="preserve"> </w:t>
      </w:r>
      <w:r>
        <w:t xml:space="preserve">—</w:t>
      </w:r>
      <w:r>
        <w:t xml:space="preserve"> </w:t>
      </w:r>
      <w:r>
        <w:t xml:space="preserve">“predict-then-optimize”</w:t>
      </w:r>
      <w:r>
        <w:t xml:space="preserve"> </w:t>
      </w:r>
      <w:r>
        <w:t xml:space="preserve">(a forecast is valuable through its link to the decision; low error ≠ good decision); the distinction between</w:t>
      </w:r>
      <w:r>
        <w:t xml:space="preserve"> </w:t>
      </w:r>
      <w:r>
        <w:rPr>
          <w:b/>
          <w:bCs/>
        </w:rPr>
        <w:t xml:space="preserve">tight coupling</w:t>
      </w:r>
      <w:r>
        <w:t xml:space="preserve"> </w:t>
      </w:r>
      <w:r>
        <w:t xml:space="preserve">and our</w:t>
      </w:r>
      <w:r>
        <w:t xml:space="preserve"> </w:t>
      </w:r>
      <w:r>
        <w:rPr>
          <w:b/>
          <w:bCs/>
        </w:rPr>
        <w:t xml:space="preserve">loose, agent-mediated coupling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§2.4 LLM agents and tool use</w:t>
      </w:r>
      <w:r>
        <w:t xml:space="preserve"> </w:t>
      </w:r>
      <w:r>
        <w:t xml:space="preserve">— tool delegation can substitute for model scale (Toolformer); JSON function-calling (our choice) vs code-as-action (the baseline); Sapkota’s taxonomy → the thesis is a</w:t>
      </w:r>
      <w:r>
        <w:t xml:space="preserve"> </w:t>
      </w:r>
      <w:r>
        <w:rPr>
          <w:b/>
          <w:bCs/>
        </w:rPr>
        <w:t xml:space="preserve">bounded tool-using agent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§2.5 Reliability, traceability, uncertainty, evaluation</w:t>
      </w:r>
      <w:r>
        <w:t xml:space="preserve"> </w:t>
      </w:r>
      <w:r>
        <w:t xml:space="preserve">— risks (hallucination, input noise, coordination failure); traceability as a requirement; uncertainty</w:t>
      </w:r>
      <w:r>
        <w:t xml:space="preserve"> </w:t>
      </w:r>
      <w:r>
        <w:rPr>
          <w:b/>
          <w:bCs/>
        </w:rPr>
        <w:t xml:space="preserve">calibration</w:t>
      </w:r>
      <w:r>
        <w:t xml:space="preserve">; LLM-as-judge for SRQ4.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§2.6 Production-oriented agentic systems &amp; integration readiness</w:t>
      </w:r>
      <w:r>
        <w:t xml:space="preserve"> </w:t>
      </w:r>
      <w:r>
        <w:t xml:space="preserve">— González-Potes (2026) as the closest exemplar; synthesis of the</w:t>
      </w:r>
      <w:r>
        <w:t xml:space="preserve"> </w:t>
      </w:r>
      <w:r>
        <w:rPr>
          <w:b/>
          <w:bCs/>
        </w:rPr>
        <w:t xml:space="preserve">required capabilities</w:t>
      </w:r>
      <w:r>
        <w:t xml:space="preserve"> </w:t>
      </w:r>
      <w:r>
        <w:t xml:space="preserve">(SRQ3).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§2.7 Research gap</w:t>
      </w:r>
      <w:r>
        <w:t xml:space="preserve"> </w:t>
      </w:r>
      <w:r>
        <w:t xml:space="preserve">— the missing intersection (figure below).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§2.8 Design Science Research</w:t>
      </w:r>
      <w:r>
        <w:t xml:space="preserve"> </w:t>
      </w:r>
      <w:r>
        <w:t xml:space="preserve">— why DSR is the right paradigm.</w:t>
      </w:r>
    </w:p>
    <w:bookmarkEnd w:id="20"/>
    <w:bookmarkStart w:id="24" w:name="the-gap-and-the-novelty"/>
    <w:p>
      <w:pPr>
        <w:pStyle w:val="Heading2"/>
      </w:pPr>
      <w:r>
        <w:t xml:space="preserve">The gap and the novelty</w:t>
      </w:r>
    </w:p>
    <w:p>
      <w:pPr>
        <w:pStyle w:val="CaptionedFigure"/>
      </w:pPr>
      <w:r>
        <w:drawing>
          <wp:inline>
            <wp:extent cx="5120640" cy="2623343"/>
            <wp:effectExtent b="0" l="0" r="0" t="0"/>
            <wp:docPr descr="Each of the four literatures supplies one piece; none covers their intersection — gap G6." title="" id="22" name="Picture"/>
            <a:graphic>
              <a:graphicData uri="http://schemas.openxmlformats.org/drawingml/2006/picture">
                <pic:pic>
                  <pic:nvPicPr>
                    <pic:cNvPr descr="figures/ch2_gap_diagram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26233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Each of the four literatures supplies one piece; none covers their intersection — gap G6.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Gap G6</w:t>
      </w:r>
      <w:r>
        <w:t xml:space="preserve">: no study extends a</w:t>
      </w:r>
      <w:r>
        <w:t xml:space="preserve"> </w:t>
      </w:r>
      <w:r>
        <w:rPr>
          <w:b/>
          <w:bCs/>
        </w:rPr>
        <w:t xml:space="preserve">non-predictive, production-oriented agentic system</w:t>
      </w:r>
      <w:r>
        <w:t xml:space="preserve"> </w:t>
      </w:r>
      <w:r>
        <w:t xml:space="preserve">with lightweight forecasting, through a</w:t>
      </w:r>
      <w:r>
        <w:t xml:space="preserve"> </w:t>
      </w:r>
      <w:r>
        <w:rPr>
          <w:b/>
          <w:bCs/>
        </w:rPr>
        <w:t xml:space="preserve">loose, reliable, traceable interface</w:t>
      </w:r>
      <w:r>
        <w:t xml:space="preserve">, and compares it against a</w:t>
      </w:r>
      <w:r>
        <w:t xml:space="preserve"> </w:t>
      </w:r>
      <w:r>
        <w:rPr>
          <w:b/>
          <w:bCs/>
        </w:rPr>
        <w:t xml:space="preserve">code-as-action baseline</w:t>
      </w:r>
      <w:r>
        <w:t xml:space="preserve">, under</w:t>
      </w:r>
      <w:r>
        <w:t xml:space="preserve"> </w:t>
      </w:r>
      <w:r>
        <w:rPr>
          <w:b/>
          <w:bCs/>
        </w:rPr>
        <w:t xml:space="preserve">SME constraints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Novelty</w:t>
      </w:r>
      <w:r>
        <w:t xml:space="preserve">: the intersection of (dedicated ML vs code-as-action) × (cost-aware FMCG) × (extension of a production agentic system) appears in no paper in the corpus.</w:t>
      </w:r>
    </w:p>
    <w:p>
      <w:pPr>
        <w:pStyle w:val="BlockText"/>
      </w:pPr>
      <w:r>
        <w:rPr>
          <w:b/>
          <w:bCs/>
        </w:rPr>
        <w:t xml:space="preserve">🗨 To discuss / Supervisor feedback (Ch. 2):</w:t>
      </w:r>
    </w:p>
    <w:p>
      <w:pPr>
        <w:pStyle w:val="Block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chapter-3-methodology"/>
    <w:p>
      <w:pPr>
        <w:pStyle w:val="Heading1"/>
      </w:pPr>
      <w:r>
        <w:t xml:space="preserve">Chapter 3 — Methodology</w:t>
      </w:r>
    </w:p>
    <w:bookmarkStart w:id="26" w:name="philosophy-of-science-3.1"/>
    <w:p>
      <w:pPr>
        <w:pStyle w:val="Heading2"/>
      </w:pPr>
      <w:r>
        <w:t xml:space="preserve">Philosophy of science (§3.1)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Pragmatism</w:t>
      </w:r>
      <w:r>
        <w:t xml:space="preserve">: knowledge is judged by its practical consequences (</w:t>
      </w:r>
      <w:r>
        <w:t xml:space="preserve">“knowledge is what works”</w:t>
      </w:r>
      <w:r>
        <w:t xml:space="preserve">) → well-suited to artefact-oriented research.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Modest realism</w:t>
      </w:r>
      <w:r>
        <w:t xml:space="preserve"> </w:t>
      </w:r>
      <w:r>
        <w:t xml:space="preserve">about the data: demand and sales exist, but are known only through the Nielsen instrument with its assumptions → this motivates the data quality assessment and a</w:t>
      </w:r>
      <w:r>
        <w:t xml:space="preserve"> </w:t>
      </w:r>
      <w:r>
        <w:rPr>
          <w:i/>
          <w:iCs/>
        </w:rPr>
        <w:t xml:space="preserve">context-bounded</w:t>
      </w:r>
      <w:r>
        <w:t xml:space="preserve"> </w:t>
      </w:r>
      <w:r>
        <w:t xml:space="preserve">interpretation.</w:t>
      </w:r>
    </w:p>
    <w:bookmarkEnd w:id="26"/>
    <w:bookmarkStart w:id="27" w:name="research-design-dsr-3.2"/>
    <w:p>
      <w:pPr>
        <w:pStyle w:val="Heading2"/>
      </w:pPr>
      <w:r>
        <w:t xml:space="preserve">Research design: DSR (§3.2)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Design Science Research</w:t>
      </w:r>
      <w:r>
        <w:t xml:space="preserve"> </w:t>
      </w:r>
      <w:r>
        <w:t xml:space="preserve">(Hevner 2004): build a working artefact</w:t>
      </w:r>
      <w:r>
        <w:t xml:space="preserve"> </w:t>
      </w:r>
      <w:r>
        <w:rPr>
          <w:b/>
          <w:bCs/>
        </w:rPr>
        <w:t xml:space="preserve">+</w:t>
      </w:r>
      <w:r>
        <w:t xml:space="preserve"> </w:t>
      </w:r>
      <w:r>
        <w:t xml:space="preserve">generate transferable</w:t>
      </w:r>
      <w:r>
        <w:t xml:space="preserve"> </w:t>
      </w:r>
      <w:r>
        <w:rPr>
          <w:i/>
          <w:iCs/>
        </w:rPr>
        <w:t xml:space="preserve">design knowledge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Three cycles</w:t>
      </w:r>
      <w:r>
        <w:t xml:space="preserve">: relevance (Manifold’s need) · design (Ch. 5–8) · rigor (Ch. 2 literature).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Six activities</w:t>
      </w:r>
      <w:r>
        <w:t xml:space="preserve"> </w:t>
      </w:r>
      <w:r>
        <w:t xml:space="preserve">of Peffers (2007) mapped onto chapters; CBS design type =</w:t>
      </w:r>
      <w:r>
        <w:t xml:space="preserve"> </w:t>
      </w:r>
      <w:r>
        <w:rPr>
          <w:b/>
          <w:bCs/>
        </w:rPr>
        <w:t xml:space="preserve">explanatory</w:t>
      </w:r>
      <w:r>
        <w:t xml:space="preserve">; declared status of a</w:t>
      </w:r>
      <w:r>
        <w:t xml:space="preserve"> </w:t>
      </w:r>
      <w:r>
        <w:rPr>
          <w:b/>
          <w:bCs/>
        </w:rPr>
        <w:t xml:space="preserve">research prototype</w:t>
      </w:r>
      <w:r>
        <w:t xml:space="preserve">, not a production-ready system.</w:t>
      </w:r>
    </w:p>
    <w:bookmarkEnd w:id="27"/>
    <w:bookmarkStart w:id="28" w:name="research-strategy-3.3"/>
    <w:p>
      <w:pPr>
        <w:pStyle w:val="Heading2"/>
      </w:pPr>
      <w:r>
        <w:t xml:space="preserve">Research strategy (§3.3)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Quantitative quasi-experiment + single-case embedded study</w:t>
      </w:r>
      <w:r>
        <w:t xml:space="preserve">: the experiment provides the controlled evaluations (SRQ1, SRQ4); the case (Manifold/Prometheus) anchors the findings in real data.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Unit of analysis</w:t>
      </w:r>
      <w:r>
        <w:t xml:space="preserve">: the artefact, evaluated across the categories at</w:t>
      </w:r>
      <w:r>
        <w:t xml:space="preserve"> </w:t>
      </w:r>
      <w:r>
        <w:rPr>
          <w:b/>
          <w:bCs/>
        </w:rPr>
        <w:t xml:space="preserve">brand × retailer → month</w:t>
      </w:r>
      <w:r>
        <w:t xml:space="preserve"> </w:t>
      </w:r>
      <w:r>
        <w:t xml:space="preserve">granularity; the</w:t>
      </w:r>
      <w:r>
        <w:t xml:space="preserve"> </w:t>
      </w:r>
      <w:r>
        <w:rPr>
          <w:b/>
          <w:bCs/>
        </w:rPr>
        <w:t xml:space="preserve">DVH EXCL. HD</w:t>
      </w:r>
      <w:r>
        <w:t xml:space="preserve"> </w:t>
      </w:r>
      <w:r>
        <w:t xml:space="preserve">scope is locked (aligned with Manifold).</w:t>
      </w:r>
    </w:p>
    <w:bookmarkEnd w:id="28"/>
    <w:bookmarkStart w:id="29" w:name="approach-per-sub-question-3.5"/>
    <w:p>
      <w:pPr>
        <w:pStyle w:val="Heading2"/>
      </w:pPr>
      <w:r>
        <w:t xml:space="preserve">Approach per sub-question (§3.5)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SRQ1</w:t>
      </w:r>
      <w:r>
        <w:t xml:space="preserve"> </w:t>
      </w:r>
      <w:r>
        <w:t xml:space="preserve">— 5 models (ARIMA, Prophet, LightGBM, XGBoost, Ridge), Optuna-tuned; metrics MAPE/WMAPE + RAM/runtime + stability; specialised vs pooled; RAM profiled in</w:t>
      </w:r>
      <w:r>
        <w:t xml:space="preserve"> </w:t>
      </w:r>
      <w:r>
        <w:rPr>
          <w:b/>
          <w:bCs/>
        </w:rPr>
        <w:t xml:space="preserve">RSS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SRQ2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JSON function-calling</w:t>
      </w:r>
      <w:r>
        <w:t xml:space="preserve"> </w:t>
      </w:r>
      <w:r>
        <w:t xml:space="preserve">interface with strict schemas; forecast + interval (calibration); reliability via validation, traceability via mapping; lightweight Python coordinator (LangGraph = production target).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SRQ3</w:t>
      </w:r>
      <w:r>
        <w:t xml:space="preserve"> </w:t>
      </w:r>
      <w:r>
        <w:t xml:space="preserve">— a</w:t>
      </w:r>
      <w:r>
        <w:t xml:space="preserve"> </w:t>
      </w:r>
      <w:r>
        <w:rPr>
          <w:b/>
          <w:bCs/>
        </w:rPr>
        <w:t xml:space="preserve">capability-readiness</w:t>
      </w:r>
      <w:r>
        <w:t xml:space="preserve"> </w:t>
      </w:r>
      <w:r>
        <w:t xml:space="preserve">assessment of the four capabilities against the real Prometheus (not a live integration).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SRQ4</w:t>
      </w:r>
      <w:r>
        <w:t xml:space="preserve"> </w:t>
      </w:r>
      <w:r>
        <w:t xml:space="preserve">— ~50 shared prompts,</w:t>
      </w:r>
      <w:r>
        <w:t xml:space="preserve"> </w:t>
      </w:r>
      <w:r>
        <w:rPr>
          <w:b/>
          <w:bCs/>
        </w:rPr>
        <w:t xml:space="preserve">dedicated model vs code-as-action</w:t>
      </w:r>
      <w:r>
        <w:t xml:space="preserve"> </w:t>
      </w:r>
      <w:r>
        <w:t xml:space="preserve">(E2B sandbox); correctness/consistency/replicability (primary) + cost/latency (secondary); LLM-as-judge + human subset;</w:t>
      </w:r>
      <w:r>
        <w:t xml:space="preserve"> </w:t>
      </w:r>
      <w:r>
        <w:rPr>
          <w:b/>
          <w:bCs/>
        </w:rPr>
        <w:t xml:space="preserve">pilot scale</w:t>
      </w:r>
      <w:r>
        <w:t xml:space="preserve">.</w:t>
      </w:r>
    </w:p>
    <w:bookmarkEnd w:id="29"/>
    <w:bookmarkStart w:id="30" w:name="validity-and-limitations-3.63.7"/>
    <w:p>
      <w:pPr>
        <w:pStyle w:val="Heading2"/>
      </w:pPr>
      <w:r>
        <w:t xml:space="preserve">Validity and limitations (§3.6–§3.7)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Internal validity</w:t>
      </w:r>
      <w:r>
        <w:t xml:space="preserve">: the same split across all models, fixed seeds, a single manipulation in SRQ4.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External validity</w:t>
      </w:r>
      <w:r>
        <w:t xml:space="preserve"> </w:t>
      </w:r>
      <w:r>
        <w:t xml:space="preserve">is explicitly limited (Danish market, 8 GB, monthly batch).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Limitations</w:t>
      </w:r>
      <w:r>
        <w:t xml:space="preserve">: data confidentiality (reproducibility limited to features/code/protocol); sample size near the limits; SRQ4 at pilot scale; sequential model execution (due to the 8 GB constraint).</w:t>
      </w:r>
    </w:p>
    <w:p>
      <w:pPr>
        <w:pStyle w:val="BlockText"/>
      </w:pPr>
      <w:r>
        <w:rPr>
          <w:b/>
          <w:bCs/>
        </w:rPr>
        <w:t xml:space="preserve">🗨 To discuss / Supervisor feedback (Ch. 3):</w:t>
      </w:r>
    </w:p>
    <w:p>
      <w:pPr>
        <w:pStyle w:val="Block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open-questions-for-the-supervisor"/>
    <w:p>
      <w:pPr>
        <w:pStyle w:val="Heading1"/>
      </w:pPr>
      <w:r>
        <w:t xml:space="preserve">Open questions for the supervisor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DSR acceptance (OI-03)</w:t>
      </w:r>
      <w:r>
        <w:t xml:space="preserve">: is DSR accepted as the methodology for a Business Administration + Data Science thesis at CBS?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Page limit</w:t>
      </w:r>
      <w:r>
        <w:t xml:space="preserve">: 80 (solo) vs 120 (group) standard pages — to confirm.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Preprints</w:t>
      </w:r>
      <w:r>
        <w:t xml:space="preserve">: is it acceptable to cite preprints where they are the closest available precedent (they are flagged as such)?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Four vs five categories</w:t>
      </w:r>
      <w:r>
        <w:t xml:space="preserve">: beer excluded because its facts are missing at source — is this acceptable?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Calibration</w:t>
      </w:r>
      <w:r>
        <w:t xml:space="preserve">: present it as a result (conformal already implemented, CSD coverage 90.5%) rather than as future work.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Novelty / gap (G6)</w:t>
      </w:r>
      <w:r>
        <w:t xml:space="preserve">: is it convincing as the primary contribution?</w:t>
      </w:r>
    </w:p>
    <w:p>
      <w:pPr>
        <w:pStyle w:val="BlockText"/>
      </w:pPr>
      <w:r>
        <w:rPr>
          <w:b/>
          <w:bCs/>
        </w:rPr>
        <w:t xml:space="preserve">🗨 General notes / agreed next steps:</w:t>
      </w:r>
    </w:p>
    <w:p>
      <w:pPr>
        <w:pStyle w:val="BlockText"/>
      </w:pPr>
      <w:r>
        <w:br/>
      </w:r>
      <w:r>
        <w:br/>
      </w:r>
      <w:r>
        <w:br/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Brief status (context, not for discussion today): Ch. 1–5 are in review-ready draft; SRQ1 results are in; the SRQ4 code-as-action run is the main remaining work and unblocks Ch. 7–10.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Supervision Meeting — Introduction, Literature Review, Methodology</dc:title>
  <dc:creator>Enrico Manfron</dc:creator>
  <cp:keywords/>
  <dcterms:created xsi:type="dcterms:W3CDTF">2026-06-30T08:44:55Z</dcterms:created>
  <dcterms:modified xsi:type="dcterms:W3CDTF">2026-06-30T08:44:55Z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Preparation and feedback-capture document · 30 June 2026</vt:lpwstr>
  </property>
</Properties>
</file>