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Paragraph-by-Paragraph Walkthrough — Chapters 1–3</w:t>
      </w:r>
    </w:p>
    <w:p>
      <w:pPr>
        <w:pStyle w:val="Subtitle"/>
      </w:pPr>
      <w:r>
        <w:t xml:space="preserve">What each paragraph says · Introduction, Literature Review, Methodology</w:t>
      </w:r>
    </w:p>
    <w:p>
      <w:pPr>
        <w:pStyle w:val="Author"/>
      </w:pPr>
      <w:r>
        <w:t xml:space="preserve">Enrico Manfron</w:t>
      </w:r>
    </w:p>
    <w:bookmarkStart w:id="9" w:name="wrap-up-the-arc-of-the-three-chapters"/>
    <w:p>
      <w:pPr>
        <w:pStyle w:val="Heading1"/>
      </w:pPr>
      <w:r>
        <w:t xml:space="preserve">Wrap-up: the arc of the three chapters</w:t>
      </w:r>
    </w:p>
    <w:p>
      <w:pPr>
        <w:pStyle w:val="FirstParagraph"/>
      </w:pPr>
      <w:r>
        <w:t xml:space="preserve">The first three chapters set up the thesis end to end, before any results: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1 (Introduction)</w:t>
      </w:r>
      <w:r>
        <w:t xml:space="preserve"> </w:t>
      </w:r>
      <w:r>
        <w:t xml:space="preserve">states the problem and the questions. It argues for the shift from descriptive BI to forecast-informed decision-support, shows why FMCG beverages under an 8 GB budget are a hard and realistic case, introduces Manifold AI as the live case, and decomposes the Main RQ into four sub-questions (SRQ1–4).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2 (Literature Review)</w:t>
      </w:r>
      <w:r>
        <w:t xml:space="preserve"> </w:t>
      </w:r>
      <w:r>
        <w:t xml:space="preserve">builds the gap. As a narrative, integrative review it walks through eight literatures (forecasting, lightweight ML, decision-support, LLM agents, reliability/evaluation, production agentic systems), then shows their intersection is unaddressed (gap G6) and frames the answer as Design Science Research.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3 (Methodology)</w:t>
      </w:r>
      <w:r>
        <w:t xml:space="preserve"> </w:t>
      </w:r>
      <w:r>
        <w:t xml:space="preserve">operationalises everything: a pragmatist + DSR stance, a quasi-experiment plus single-case study, one data source (Nielsen), a distinct evaluation protocol per SRQ, and explicit validity and limitations.</w:t>
      </w:r>
    </w:p>
    <w:p>
      <w:pPr>
        <w:pStyle w:val="FirstParagraph"/>
      </w:pPr>
      <w:r>
        <w:t xml:space="preserve">The thread is continuous: Ch1 poses the problem → Ch2 proves it is an open gap → Ch3 specifies how it will be answered.</w:t>
      </w:r>
    </w:p>
    <w:p>
      <w:r>
        <w:pict>
          <v:rect style="width:0;height:1.5pt" o:hralign="center" o:hrstd="t" o:hr="t"/>
        </w:pict>
      </w:r>
    </w:p>
    <w:bookmarkEnd w:id="9"/>
    <w:bookmarkStart w:id="15" w:name="chapter-1-introduction"/>
    <w:p>
      <w:pPr>
        <w:pStyle w:val="Heading1"/>
      </w:pPr>
      <w:r>
        <w:t xml:space="preserve">Chapter 1 — Introduction</w:t>
      </w:r>
    </w:p>
    <w:bookmarkStart w:id="10" w:name="background-and-motivation"/>
    <w:p>
      <w:pPr>
        <w:pStyle w:val="Heading2"/>
      </w:pPr>
      <w:r>
        <w:t xml:space="preserve">§1.1 Background and Motivation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¶1 — From descriptive to forecast-informed.</w:t>
      </w:r>
      <w:r>
        <w:t xml:space="preserve"> </w:t>
      </w:r>
      <w:r>
        <w:t xml:space="preserve">For decades BI has been descriptive (dashboards, KPIs, trends on past data); it created value, but modern markets need to know what will happen and what to do, not only what happened.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¶2 — Why FMCG beverages.</w:t>
      </w:r>
      <w:r>
        <w:t xml:space="preserve"> </w:t>
      </w:r>
      <w:r>
        <w:t xml:space="preserve">The shift matters most in FMCG, where volatility, promotions, seasonality and SKU proliferation challenge classical statistics; beverage demand is erratic and intermittent, and Ma et al. (2025) show ML with exogenous features beats statistical baselines on high-volume stable SKUs, with no single model dominating.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¶3 — The forecasting literature confirms the direction.</w:t>
      </w:r>
      <w:r>
        <w:t xml:space="preserve"> </w:t>
      </w:r>
      <w:r>
        <w:t xml:space="preserve">M4 (combining models wins; hybrids most accurate) and M5 (LightGBM dominates Walmart retail; exogenous features help) point the same way; Makridakis names exogenous variables as the open frontier (with a footnote defining the exogenous predictors used here). The thesis takes up that direction and goes beyond accuracy alone.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¶4 — The ignored constraint.</w:t>
      </w:r>
      <w:r>
        <w:t xml:space="preserve"> </w:t>
      </w:r>
      <w:r>
        <w:t xml:space="preserve">The academic literature has neglected compute limits; transformers and local LLMs need costly GPUs while an 8 GB instance costs a fraction; Ng (2017) shows memory is a first-order variable in scanner-data work, so ~8 GB is a realistic SME ceiling that excludes most transformer architectures.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¶5 — The gap in the agentic literature.</w:t>
      </w:r>
      <w:r>
        <w:t xml:space="preserve"> </w:t>
      </w:r>
      <w:r>
        <w:t xml:space="preserve">Agentic work assumes cloud-scale infrastructure; this is a structural asymmetry (benchmarks validated on big-lab hardware). Demonstrating reliable decision-support within an SME budget is itself a contribution; existing systems (AutoFlow, ScoreFlow, SciAgent, and the closest, González-Potes 2026) do not address the targeted combination.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¶6 — The Danish empirical context.</w:t>
      </w:r>
      <w:r>
        <w:t xml:space="preserve"> </w:t>
      </w:r>
      <w:r>
        <w:t xml:space="preserve">Denmark is a mature, concentrated retail market; Nielsen scanner-panel data give granular, longitudinal sales visibility, and the Nielsen panel is the thesis’s central forecasting input.</w:t>
      </w:r>
    </w:p>
    <w:bookmarkEnd w:id="10"/>
    <w:bookmarkStart w:id="11" w:name="research-problem"/>
    <w:p>
      <w:pPr>
        <w:pStyle w:val="Heading2"/>
      </w:pPr>
      <w:r>
        <w:t xml:space="preserve">§1.2 Research Problem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¶1 — The four problems of the predictive extension.</w:t>
      </w:r>
      <w:r>
        <w:t xml:space="preserve"> </w:t>
      </w:r>
      <w:r>
        <w:t xml:space="preserve">With Manifold AI (</w:t>
      </w:r>
      <w:r>
        <w:t xml:space="preserve">“AI Colleagues”</w:t>
      </w:r>
      <w:r>
        <w:t xml:space="preserve"> </w:t>
      </w:r>
      <w:r>
        <w:t xml:space="preserve">/ Prometheus) as the descriptive-only production case, extending it raises four problems: (1) accuracy within a tight compute budget; (2) a typed interface preserving reliability, uncertainty, traceability; (3) the production system’s capability to integrate the substrate; (4) beating a code-as-action LLM baseline at justified cost.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¶2 — The thesis’s response.</w:t>
      </w:r>
      <w:r>
        <w:t xml:space="preserve"> </w:t>
      </w:r>
      <w:r>
        <w:t xml:space="preserve">It extends a production agentic system with a lightweight forecasting substrate, exposed via a typed forecast-tool interface to a bounded agentic layer, specifying the integration-readiness capabilities required, all within ~8 GB RAM.</w:t>
      </w:r>
    </w:p>
    <w:bookmarkEnd w:id="11"/>
    <w:bookmarkStart w:id="12" w:name="research-questions"/>
    <w:p>
      <w:pPr>
        <w:pStyle w:val="Heading2"/>
      </w:pPr>
      <w:r>
        <w:t xml:space="preserve">§1.3 Research Questions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Intro + Main RQ.</w:t>
      </w:r>
      <w:r>
        <w:t xml:space="preserve"> </w:t>
      </w:r>
      <w:r>
        <w:t xml:space="preserve">States the guiding question (extend non-predictive agentic systems with lightweight forecasting for reliable, forecast-informed, cost-justified decisions under constraints), decomposed into four SRQs.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SRQ1.</w:t>
      </w:r>
      <w:r>
        <w:t xml:space="preserve"> </w:t>
      </w:r>
      <w:r>
        <w:t xml:space="preserve">Which lightweight models best trade accuracy / memory / category specialisation; motivates the Ch6 benchmark; accuracy alone is insufficient under a fixed RAM budget.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SRQ2.</w:t>
      </w:r>
      <w:r>
        <w:t xml:space="preserve"> </w:t>
      </w:r>
      <w:r>
        <w:t xml:space="preserve">How to expose forecasts via a structured interface preserving reliability, uncertainty, traceability; motivates the interface (Ch5) and its realisation (Ch7); JSON function-calling prototype, LangGraph as production target.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SRQ3.</w:t>
      </w:r>
      <w:r>
        <w:t xml:space="preserve"> </w:t>
      </w:r>
      <w:r>
        <w:t xml:space="preserve">What capabilities a production system needs to integrate forecast support; motivates an integration-readiness spec assessed on the real Prometheus, not a completed deployment.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SRQ4.</w:t>
      </w:r>
      <w:r>
        <w:t xml:space="preserve"> </w:t>
      </w:r>
      <w:r>
        <w:t xml:space="preserve">Whether dedicated-model integration improves correctness/consistency/replicability at justified cost/latency vs a code-as-action LLM; motivates the Ch8 pilot comparison with an LLM-as-judge and human-rated subset.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Figure 1.1.</w:t>
      </w:r>
      <w:r>
        <w:t xml:space="preserve"> </w:t>
      </w:r>
      <w:r>
        <w:t xml:space="preserve">The RQ tree: Main RQ and its four sub-questions.</w:t>
      </w:r>
    </w:p>
    <w:bookmarkEnd w:id="12"/>
    <w:bookmarkStart w:id="13" w:name="delimitation"/>
    <w:p>
      <w:pPr>
        <w:pStyle w:val="Heading2"/>
      </w:pPr>
      <w:r>
        <w:t xml:space="preserve">§1.4 Delimitation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¶ intro.</w:t>
      </w:r>
      <w:r>
        <w:t xml:space="preserve"> </w:t>
      </w:r>
      <w:r>
        <w:t xml:space="preserve">Scope is bounded by deliberate choices for tractability and methodological traceability.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Domain and geography.</w:t>
      </w:r>
      <w:r>
        <w:t xml:space="preserve"> </w:t>
      </w:r>
      <w:r>
        <w:t xml:space="preserve">Danish beverage retail, the Nielsen categories; multi-category scope driven by data and benchmark design; categories chosen with Manifold, differing in scale, to test generalisation across heterogeneous structures.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Computational constraint.</w:t>
      </w:r>
      <w:r>
        <w:t xml:space="preserve"> </w:t>
      </w:r>
      <w:r>
        <w:t xml:space="preserve">≤ 8 GB RAM across active components; explicitly excludes transformer architectures; a formal design criterion motivated by Ng (2017).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Processing mode.</w:t>
      </w:r>
      <w:r>
        <w:t xml:space="preserve"> </w:t>
      </w:r>
      <w:r>
        <w:t xml:space="preserve">Monthly batch over historical data, not real-time streaming; reflects the tactical planning horizon.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Deployment scope.</w:t>
      </w:r>
      <w:r>
        <w:t xml:space="preserve"> </w:t>
      </w:r>
      <w:r>
        <w:t xml:space="preserve">Not a production-ready system; a research prototype evaluated under DSR on historical data, measured on research metrics rather than live business outcomes.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Generalisability.</w:t>
      </w:r>
      <w:r>
        <w:t xml:space="preserve"> </w:t>
      </w:r>
      <w:r>
        <w:t xml:space="preserve">Bounded to the Danish market and the Nielsen panel; other markets/categories/sources are future work.</w:t>
      </w:r>
    </w:p>
    <w:bookmarkEnd w:id="13"/>
    <w:bookmarkStart w:id="14" w:name="thesis-structure"/>
    <w:p>
      <w:pPr>
        <w:pStyle w:val="Heading2"/>
      </w:pPr>
      <w:r>
        <w:t xml:space="preserve">§1.5 Thesis Structure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¶ intro.</w:t>
      </w:r>
      <w:r>
        <w:t xml:space="preserve"> </w:t>
      </w:r>
      <w:r>
        <w:t xml:space="preserve">The thesis is organised into nine further chapters, each a phase of the DSR process.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Per-chapter map.</w:t>
      </w:r>
      <w:r>
        <w:t xml:space="preserve"> </w:t>
      </w:r>
      <w:r>
        <w:t xml:space="preserve">One line each: Ch2 literature/gap; Ch3 methodology; Ch4 data assessment; Ch5 architecture vs the 8 GB budget; Ch6 SRQ1 benchmark; Ch7 SRQ2 agentic prototype; Ch8 SRQ4 pilot; Ch9 discussion/limitations; Ch10 conclusion.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chapter-2-literature-review"/>
    <w:p>
      <w:pPr>
        <w:pStyle w:val="Heading1"/>
      </w:pPr>
      <w:r>
        <w:t xml:space="preserve">Chapter 2 — Literature Review</w:t>
      </w:r>
    </w:p>
    <w:bookmarkStart w:id="16" w:name="chapter-introduction"/>
    <w:p>
      <w:pPr>
        <w:pStyle w:val="Heading2"/>
      </w:pPr>
      <w:r>
        <w:t xml:space="preserve">§2.0 Chapter Introduction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¶1 — Frames the central problem</w:t>
      </w:r>
      <w:r>
        <w:t xml:space="preserve"> </w:t>
      </w:r>
      <w:r>
        <w:t xml:space="preserve">and says the review is organised so each literature supplies one element, then shows the elements are jointly under-addressed.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¶2 — Origin and iteration.</w:t>
      </w:r>
      <w:r>
        <w:t xml:space="preserve"> </w:t>
      </w:r>
      <w:r>
        <w:t xml:space="preserve">The idea began with Manifold AI; as the RQs were refined (from a multi-agent framing toward forecast-informed, cost-justified support), the reviewed scope was refined in step.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¶3 — Method.</w:t>
      </w:r>
      <w:r>
        <w:t xml:space="preserve"> </w:t>
      </w:r>
      <w:r>
        <w:t xml:space="preserve">A narrative, integrative (not systematic) review; Google Scholar + NotebookLM + Zotero; ~100 records screened → ~40 read closely → 39 cited (15 flagged preprints).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¶4 — Roadmap</w:t>
      </w:r>
      <w:r>
        <w:t xml:space="preserve"> </w:t>
      </w:r>
      <w:r>
        <w:t xml:space="preserve">of the eight thematic sections.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¶5 — Discipline.</w:t>
      </w:r>
      <w:r>
        <w:t xml:space="preserve"> </w:t>
      </w:r>
      <w:r>
        <w:t xml:space="preserve">A distinction is kept throughout between what the literature establishes and what the thesis designs, plans, or leaves to future work.</w:t>
      </w:r>
    </w:p>
    <w:bookmarkEnd w:id="16"/>
    <w:bookmarkStart w:id="17" w:name="Xcf5daeaa950832f7ad98ff8fca63cc63d975a38"/>
    <w:p>
      <w:pPr>
        <w:pStyle w:val="Heading2"/>
      </w:pPr>
      <w:r>
        <w:t xml:space="preserve">§2.1 Forecasting as Predictive Substrate in FMCG</w:t>
      </w:r>
      <w:r>
        <w:t xml:space="preserve"> </w:t>
      </w:r>
      <w:r>
        <w:rPr>
          <w:i/>
          <w:iCs/>
        </w:rPr>
        <w:t xml:space="preserve">(SRQ1)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¶1 — The substrate is a demand model;</w:t>
      </w:r>
      <w:r>
        <w:t xml:space="preserve"> </w:t>
      </w:r>
      <w:r>
        <w:t xml:space="preserve">the five chosen models (ARIMA, Prophet, LightGBM, XGBoost, Ridge) span the accuracy–efficiency frontier.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¶2 — Competitions.</w:t>
      </w:r>
      <w:r>
        <w:t xml:space="preserve"> </w:t>
      </w:r>
      <w:r>
        <w:t xml:space="preserve">M4 (combining models, hybrids) and M5 (LightGBM, exogenous features) motivate three choices: benchmark many models, include LightGBM, use exogenous features.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¶3 — Domain studies.</w:t>
      </w:r>
      <w:r>
        <w:t xml:space="preserve"> </w:t>
      </w:r>
      <w:r>
        <w:t xml:space="preserve">Ceran (2024), Ma (2025), Nguyen (2025): LightGBM accurate and light, no single winner, gradient boosting suited to short series — the thesis’s regime.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¶4 — Two further results.</w:t>
      </w:r>
      <w:r>
        <w:t xml:space="preserve"> </w:t>
      </w:r>
      <w:r>
        <w:t xml:space="preserve">Ahrens (2024) grounds model combination; Klee &amp; Xia (2025) add forecast stability as a production criterion alongside accuracy.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¶5 — Transition</w:t>
      </w:r>
      <w:r>
        <w:t xml:space="preserve"> </w:t>
      </w:r>
      <w:r>
        <w:t xml:space="preserve">to why lightweight models are necessary under a budget.</w:t>
      </w:r>
    </w:p>
    <w:bookmarkEnd w:id="17"/>
    <w:bookmarkStart w:id="18" w:name="X6855222c42b7e84d900fe64f43fa38f5de0fc89"/>
    <w:p>
      <w:pPr>
        <w:pStyle w:val="Heading2"/>
      </w:pPr>
      <w:r>
        <w:t xml:space="preserve">§2.2 Lightweight ML under Computational and Deployment Constraints</w:t>
      </w:r>
      <w:r>
        <w:t xml:space="preserve"> </w:t>
      </w:r>
      <w:r>
        <w:rPr>
          <w:i/>
          <w:iCs/>
        </w:rPr>
        <w:t xml:space="preserve">(SRQ1 + Main RQ)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¶1 — Efficiency is binding, not secondary;</w:t>
      </w:r>
      <w:r>
        <w:t xml:space="preserve"> </w:t>
      </w:r>
      <w:r>
        <w:t xml:space="preserve">for an SME the budget is a modest cloud instance, and the GPU/RAM cost asymmetry materially affects operating cost.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¶2 — Ng (2017), reframed.</w:t>
      </w:r>
      <w:r>
        <w:t xml:space="preserve"> </w:t>
      </w:r>
      <w:r>
        <w:t xml:space="preserve">Ng is a precedent that memory is a first-order design variable, but his constraint is raw-data</w:t>
      </w:r>
      <w:r>
        <w:t xml:space="preserve"> </w:t>
      </w:r>
      <w:r>
        <w:rPr>
          <w:i/>
          <w:iCs/>
        </w:rPr>
        <w:t xml:space="preserve">volume</w:t>
      </w:r>
      <w:r>
        <w:t xml:space="preserve"> </w:t>
      </w:r>
      <w:r>
        <w:t xml:space="preserve">at platform scale; this thesis aggregates to a small per-category set, so the binding constraint here is</w:t>
      </w:r>
      <w:r>
        <w:t xml:space="preserve"> </w:t>
      </w:r>
      <w:r>
        <w:rPr>
          <w:i/>
          <w:iCs/>
        </w:rPr>
        <w:t xml:space="preserve">deployment cost</w:t>
      </w:r>
      <w:r>
        <w:t xml:space="preserve">, not data size.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¶3 — Edge-AI / resource-constrained LLMs</w:t>
      </w:r>
      <w:r>
        <w:t xml:space="preserve"> </w:t>
      </w:r>
      <w:r>
        <w:t xml:space="preserve">(Liu 2025, Semerikov 2025): quantisation/distillation help, but a compressed LLM still needs ~1–4 GB → access the LLM via API rather than loading it locally.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¶4 — Conclusion.</w:t>
      </w:r>
      <w:r>
        <w:t xml:space="preserve"> </w:t>
      </w:r>
      <w:r>
        <w:t xml:space="preserve">Supports the substrate choice (lightweight gradient-boosted trees) evaluated against a fixed budget; the budget binds model selection, not the realised footprint (shown small in Ch5).</w:t>
      </w:r>
    </w:p>
    <w:bookmarkEnd w:id="18"/>
    <w:bookmarkStart w:id="19" w:name="X6f2fdb7cd8b669513edea16e0097f0e100d3dca"/>
    <w:p>
      <w:pPr>
        <w:pStyle w:val="Heading2"/>
      </w:pPr>
      <w:r>
        <w:t xml:space="preserve">§2.3 From Descriptive BI to Forecast-Informed Decision-Support</w:t>
      </w:r>
      <w:r>
        <w:t xml:space="preserve"> </w:t>
      </w:r>
      <w:r>
        <w:rPr>
          <w:i/>
          <w:iCs/>
        </w:rPr>
        <w:t xml:space="preserve">(Main RQ + SRQ4)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¶1 — BI is historically descriptive;</w:t>
      </w:r>
      <w:r>
        <w:t xml:space="preserve"> </w:t>
      </w:r>
      <w:r>
        <w:t xml:space="preserve">modern FMCG needs to anticipate, which requires a deliberate account of how forecasts connect to decisions.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¶2 — Predict-then-optimize.</w:t>
      </w:r>
      <w:r>
        <w:t xml:space="preserve"> </w:t>
      </w:r>
      <w:r>
        <w:t xml:space="preserve">Elmachtoub &amp; Grigas (2022) and Mandi et al. (2024): a forecast is valuable through its link to the decision; low prediction error ≠ good decision.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¶3 — Tight vs loose coupling.</w:t>
      </w:r>
      <w:r>
        <w:t xml:space="preserve"> </w:t>
      </w:r>
      <w:r>
        <w:t xml:space="preserve">That literature couples prediction and decision tightly (a formal objective); FMCG managerial support is open-ended, so the thesis studies a loose, agent-mediated coupling — which the tight-coupling work does not address.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¶4 — Interface evidence.</w:t>
      </w:r>
      <w:r>
        <w:t xml:space="preserve"> </w:t>
      </w:r>
      <w:r>
        <w:t xml:space="preserve">Rinaldi (2025), Olszak &amp; Bartuś (2025), Herath (2024), Goodwin (2010): explanations and communicated uncertainty improve trust and decision quality.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¶5 — Synthesis.</w:t>
      </w:r>
      <w:r>
        <w:t xml:space="preserve"> </w:t>
      </w:r>
      <w:r>
        <w:t xml:space="preserve">Forecasts gain value when connected to decisions, the connection should expose uncertainty, and the explanatory interface shapes quality — motivating the design developed in §2.4–2.7.</w:t>
      </w:r>
    </w:p>
    <w:bookmarkEnd w:id="19"/>
    <w:bookmarkStart w:id="20" w:name="Xc68e58fd8652dbc2e67a86f4db0b4c50465bfc1"/>
    <w:p>
      <w:pPr>
        <w:pStyle w:val="Heading2"/>
      </w:pPr>
      <w:r>
        <w:t xml:space="preserve">§2.4 LLM Agents and Tool-Mediated Reasoning</w:t>
      </w:r>
      <w:r>
        <w:t xml:space="preserve"> </w:t>
      </w:r>
      <w:r>
        <w:rPr>
          <w:i/>
          <w:iCs/>
        </w:rPr>
        <w:t xml:space="preserve">(SRQ2)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¶1 — LLM as a tool-using agent</w:t>
      </w:r>
      <w:r>
        <w:t xml:space="preserve"> </w:t>
      </w:r>
      <w:r>
        <w:t xml:space="preserve">(not just a language model) underpins the SRQ2 interface.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¶2 — Foundational tool-use work.</w:t>
      </w:r>
      <w:r>
        <w:t xml:space="preserve"> </w:t>
      </w:r>
      <w:r>
        <w:t xml:space="preserve">Toolformer (a small model that calls tools can beat a larger one), SciAgent, ART: delegation can substitute for scale and improve precise reasoning → delegate forecasting to a dedicated model.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¶3 — Action format.</w:t>
      </w:r>
      <w:r>
        <w:t xml:space="preserve"> </w:t>
      </w:r>
      <w:r>
        <w:t xml:space="preserve">Wang et al. (2024) on code-as-action; the thesis adopts JSON function-calling for reliability/reproducibility and uses code-as-action only as the SRQ4 baseline.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¶4 — Taxonomy and bound.</w:t>
      </w:r>
      <w:r>
        <w:t xml:space="preserve"> </w:t>
      </w:r>
      <w:r>
        <w:t xml:space="preserve">Sapkota (2025): the artefact is a bounded tool-using agent with human-in-the-loop, not a multi-agent system; multi-agent work (DyLAN, AutoFlow, ScoreFlow) is design context / future work.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¶5 — Summary.</w:t>
      </w:r>
      <w:r>
        <w:t xml:space="preserve"> </w:t>
      </w:r>
      <w:r>
        <w:t xml:space="preserve">The agent literature supplies the core mechanism; multi-agent and code-as-action strands frame the extension and the baseline respectively.</w:t>
      </w:r>
    </w:p>
    <w:bookmarkEnd w:id="20"/>
    <w:bookmarkStart w:id="21" w:name="X8ef334c43c117e00de8fa3f3d6c70c6d5ef59fa"/>
    <w:p>
      <w:pPr>
        <w:pStyle w:val="Heading2"/>
      </w:pPr>
      <w:r>
        <w:t xml:space="preserve">§2.5 Reliability, Traceability, Uncertainty, and Evaluation of Agentic Outputs</w:t>
      </w:r>
      <w:r>
        <w:t xml:space="preserve"> </w:t>
      </w:r>
      <w:r>
        <w:rPr>
          <w:i/>
          <w:iCs/>
        </w:rPr>
        <w:t xml:space="preserve">(SRQ2 + SRQ4)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¶1 — Reliability is first-order</w:t>
      </w:r>
      <w:r>
        <w:t xml:space="preserve"> </w:t>
      </w:r>
      <w:r>
        <w:t xml:space="preserve">when an agent reasons over forecasts that drive decisions; three risks framed: hallucination, input-noise sensitivity, coordination failure.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¶2 — Hallucination and noise.</w:t>
      </w:r>
      <w:r>
        <w:t xml:space="preserve"> </w:t>
      </w:r>
      <w:r>
        <w:t xml:space="preserve">ANAH (Ji 2024) frames numerical hallucination as quantifiable → validate agent outputs against source forecasts; AgentNoiseBench shows degradation under noisy tool inputs.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¶3 — Traceability.</w:t>
      </w:r>
      <w:r>
        <w:t xml:space="preserve"> </w:t>
      </w:r>
      <w:r>
        <w:t xml:space="preserve">AgentCompass and the AgentOps taxonomy (Dong 2025) specify the artifacts needed for auditability; in the thesis traceability is a design objective, with self-verification (Huang 2024) noted as a future enhancement.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¶4 — Calibration.</w:t>
      </w:r>
      <w:r>
        <w:t xml:space="preserve"> </w:t>
      </w:r>
      <w:r>
        <w:t xml:space="preserve">Kuleshov (2018) and Levi (2022): isotonic regression is an effective post-hoc calibration; treated as a design target/requirement (note: conformal calibration is in fact implemented — to be reflected when finalising).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¶5 — Evaluation.</w:t>
      </w:r>
      <w:r>
        <w:t xml:space="preserve"> </w:t>
      </w:r>
      <w:r>
        <w:t xml:space="preserve">Gu (2024), Ye (2024), Mehta/CLEAR (2025): pairwise judging, bias awareness, multidimensional evaluation → the SRQ4 design (separate judge, human-rated subset, pilot scale).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¶6 — Transition</w:t>
      </w:r>
      <w:r>
        <w:t xml:space="preserve"> </w:t>
      </w:r>
      <w:r>
        <w:t xml:space="preserve">to production settings where operational constraints further shape feasibility.</w:t>
      </w:r>
    </w:p>
    <w:bookmarkEnd w:id="21"/>
    <w:bookmarkStart w:id="22" w:name="Xf71a31f6f3657a46d956a727b2e9fed2425730c"/>
    <w:p>
      <w:pPr>
        <w:pStyle w:val="Heading2"/>
      </w:pPr>
      <w:r>
        <w:t xml:space="preserve">§2.6 Production-Oriented Agentic Systems and Integration Readiness</w:t>
      </w:r>
      <w:r>
        <w:t xml:space="preserve"> </w:t>
      </w:r>
      <w:r>
        <w:rPr>
          <w:i/>
          <w:iCs/>
        </w:rPr>
        <w:t xml:space="preserve">(SRQ3)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¶1 — Production sharpens the requirements;</w:t>
      </w:r>
      <w:r>
        <w:t xml:space="preserve"> </w:t>
      </w:r>
      <w:r>
        <w:t xml:space="preserve">frames the integration-readiness question central to SRQ3.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¶2 — Closest exemplar.</w:t>
      </w:r>
      <w:r>
        <w:t xml:space="preserve"> </w:t>
      </w:r>
      <w:r>
        <w:t xml:space="preserve">González-Potes (2026): a hybrid deterministic/LLM system with high compliance and low numerical error, but real-time industrial supervision, not forecast extension under SME constraints.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¶3 — Operational readiness.</w:t>
      </w:r>
      <w:r>
        <w:t xml:space="preserve"> </w:t>
      </w:r>
      <w:r>
        <w:t xml:space="preserve">Dong (2025) on observability artifacts, Mehta on CLEAR constraints, Zheng (2025) on LLMs in supply-chain workflows.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¶4 — Synthesis.</w:t>
      </w:r>
      <w:r>
        <w:t xml:space="preserve"> </w:t>
      </w:r>
      <w:r>
        <w:t xml:space="preserve">The required capabilities for SRQ3: structured tool interface, observability/traceability, reliability/uncertainty handling, bounded cost/latency/memory — assessed on a real case, not a completed deployment.</w:t>
      </w:r>
    </w:p>
    <w:bookmarkEnd w:id="22"/>
    <w:bookmarkStart w:id="23" w:name="research-gap"/>
    <w:p>
      <w:pPr>
        <w:pStyle w:val="Heading2"/>
      </w:pPr>
      <w:r>
        <w:t xml:space="preserve">§2.7 Research Gap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¶1 — The design space</w:t>
      </w:r>
      <w:r>
        <w:t xml:space="preserve"> </w:t>
      </w:r>
      <w:r>
        <w:t xml:space="preserve">reveals an under-addressed intersection, not a single missing result.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¶2 — The four bodies recapped</w:t>
      </w:r>
      <w:r>
        <w:t xml:space="preserve"> </w:t>
      </w:r>
      <w:r>
        <w:t xml:space="preserve">with what each does not cover (tight coupling without an agent; tool use without forecasting/production; reliability without integration; production without SME forecast extension).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¶3 — The intersection.</w:t>
      </w:r>
      <w:r>
        <w:t xml:space="preserve"> </w:t>
      </w:r>
      <w:r>
        <w:t xml:space="preserve">How to extend a non-predictive production agentic system with lightweight forecasting through a loose, reliable, traceable interface, and whether this beats a code-as-action baseline.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¶4 — Four contributions</w:t>
      </w:r>
      <w:r>
        <w:t xml:space="preserve"> </w:t>
      </w:r>
      <w:r>
        <w:t xml:space="preserve">stated as designed vs to-be-evaluated (SRQ1 benchmark; SRQ2 interface; SRQ3 readiness; SRQ4 pilot evaluation).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¶5 — Methodological framing</w:t>
      </w:r>
      <w:r>
        <w:t xml:space="preserve"> </w:t>
      </w:r>
      <w:r>
        <w:t xml:space="preserve">as transferable DSR design knowledge, not a fully deployed/evaluated system.</w:t>
      </w:r>
    </w:p>
    <w:bookmarkEnd w:id="23"/>
    <w:bookmarkStart w:id="24" w:name="design-science-research"/>
    <w:p>
      <w:pPr>
        <w:pStyle w:val="Heading2"/>
      </w:pPr>
      <w:r>
        <w:t xml:space="preserve">§2.8 Design Science Research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¶1 — Constructive questions</w:t>
      </w:r>
      <w:r>
        <w:t xml:space="preserve"> </w:t>
      </w:r>
      <w:r>
        <w:t xml:space="preserve">(how to design a system, what its design requires) are the province of DSR.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¶2 — Why DSR fits:</w:t>
      </w:r>
      <w:r>
        <w:t xml:space="preserve"> </w:t>
      </w:r>
      <w:r>
        <w:t xml:space="preserve">the contribution is an artefact plus transferable design knowledge, and DSR disciplines the evaluation against defined criteria in a relevant context.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¶3 — Pointer</w:t>
      </w:r>
      <w:r>
        <w:t xml:space="preserve"> </w:t>
      </w:r>
      <w:r>
        <w:t xml:space="preserve">to Ch3 for the concrete application of the DSR process.</w:t>
      </w:r>
    </w:p>
    <w:bookmarkEnd w:id="24"/>
    <w:bookmarkStart w:id="25" w:name="chapter-summary-and-transition"/>
    <w:p>
      <w:pPr>
        <w:pStyle w:val="Heading2"/>
      </w:pPr>
      <w:r>
        <w:t xml:space="preserve">§2.9 Chapter Summary and Transition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¶1 — Recap</w:t>
      </w:r>
      <w:r>
        <w:t xml:space="preserve"> </w:t>
      </w:r>
      <w:r>
        <w:t xml:space="preserve">of how each literature group supplies a piece (forecasting 2.1–2.2, decision-support 2.3, agent/reliability/production 2.4–2.6) and the identified intersection.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¶2 — Transition</w:t>
      </w:r>
      <w:r>
        <w:t xml:space="preserve"> </w:t>
      </w:r>
      <w:r>
        <w:t xml:space="preserve">to Ch3, which operationalises the artefact, benchmark, interface, readiness assessment, and evaluation design.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chapter-3-methodology"/>
    <w:p>
      <w:pPr>
        <w:pStyle w:val="Heading1"/>
      </w:pPr>
      <w:r>
        <w:t xml:space="preserve">Chapter 3 — Methodology</w:t>
      </w:r>
    </w:p>
    <w:bookmarkStart w:id="27" w:name="philosophy-of-science"/>
    <w:p>
      <w:pPr>
        <w:pStyle w:val="Heading2"/>
      </w:pPr>
      <w:r>
        <w:t xml:space="preserve">§3.1 Philosophy of Science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¶1 — Pragmatism.</w:t>
      </w:r>
      <w:r>
        <w:t xml:space="preserve"> </w:t>
      </w:r>
      <w:r>
        <w:t xml:space="preserve">Knowledge is judged by practical consequences (</w:t>
      </w:r>
      <w:r>
        <w:t xml:space="preserve">“what works”</w:t>
      </w:r>
      <w:r>
        <w:t xml:space="preserve">), well-suited to artefact-oriented research aimed at helping Manifold and similar organisations.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¶2 — Modest realism.</w:t>
      </w:r>
      <w:r>
        <w:t xml:space="preserve"> </w:t>
      </w:r>
      <w:r>
        <w:t xml:space="preserve">Demand and sales exist independently but are known only through the Nielsen instrument with its assumptions → careful data-quality assessment and context-bounded interpretation.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¶3 — Empirical stance.</w:t>
      </w:r>
      <w:r>
        <w:t xml:space="preserve"> </w:t>
      </w:r>
      <w:r>
        <w:t xml:space="preserve">Knowledge claims rest on data and controlled evaluations (prediction and comparison), contrasting with both pure positivism and interpretivism.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¶4 — Pragmatism–DSR alignment.</w:t>
      </w:r>
      <w:r>
        <w:t xml:space="preserve"> </w:t>
      </w:r>
      <w:r>
        <w:t xml:space="preserve">DSR judges knowledge by whether the artefact achieves its objectives — the pragmatist criterion — so the philosophy and method are deliberately consistent.</w:t>
      </w:r>
    </w:p>
    <w:bookmarkEnd w:id="27"/>
    <w:bookmarkStart w:id="28" w:name="research-design-design-science-research"/>
    <w:p>
      <w:pPr>
        <w:pStyle w:val="Heading2"/>
      </w:pPr>
      <w:r>
        <w:t xml:space="preserve">§3.2 Research Design: Design Science Research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¶1 — DSR adopted</w:t>
      </w:r>
      <w:r>
        <w:t xml:space="preserve"> </w:t>
      </w:r>
      <w:r>
        <w:t xml:space="preserve">as the primary methodology; the artefact is the predictive extension, plus generalised design principles.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¶2 — Three cycles</w:t>
      </w:r>
      <w:r>
        <w:t xml:space="preserve"> </w:t>
      </w:r>
      <w:r>
        <w:t xml:space="preserve">(Hevner): relevance (Manifold’s need), design (Ch5–8), rigor (Ch2 literature) — all explicitly engaged.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¶3 — Six activities</w:t>
      </w:r>
      <w:r>
        <w:t xml:space="preserve"> </w:t>
      </w:r>
      <w:r>
        <w:t xml:space="preserve">(Peffers) mapped onto chapters: problem, objectives, design/development, demonstration, evaluation, communication.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¶4 — Design type.</w:t>
      </w:r>
      <w:r>
        <w:t xml:space="preserve"> </w:t>
      </w:r>
      <w:r>
        <w:t xml:space="preserve">Explanatory (why architectural choices beat the baseline), with the artefact’s research-prototype status explicitly acknowledged.</w:t>
      </w:r>
    </w:p>
    <w:bookmarkEnd w:id="28"/>
    <w:bookmarkStart w:id="29" w:name="research-strategy"/>
    <w:p>
      <w:pPr>
        <w:pStyle w:val="Heading2"/>
      </w:pPr>
      <w:r>
        <w:t xml:space="preserve">§3.3 Research Strategy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¶1 — Quasi-experiment + case.</w:t>
      </w:r>
      <w:r>
        <w:t xml:space="preserve"> </w:t>
      </w:r>
      <w:r>
        <w:t xml:space="preserve">A quantitative experiment provides the controlled evaluations for SRQ1 and SRQ4 (single manipulation, all else constant) → internal validity.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¶2 — Single-case embedded study.</w:t>
      </w:r>
      <w:r>
        <w:t xml:space="preserve"> </w:t>
      </w:r>
      <w:r>
        <w:t xml:space="preserve">Manifold = case organisation, Prometheus = empirical case for SRQ3, the Danish beverage market = context; everything anchored in real data, not synthetic benchmarks.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¶3 — Unit of analysis.</w:t>
      </w:r>
      <w:r>
        <w:t xml:space="preserve"> </w:t>
      </w:r>
      <w:r>
        <w:t xml:space="preserve">The artefact, evaluated across categories at brand × retailer → month granularity; DVH EXCL. HD scope locked, decisions pre-registered for reproducibility.</w:t>
      </w:r>
    </w:p>
    <w:bookmarkEnd w:id="29"/>
    <w:bookmarkStart w:id="30" w:name="data-sources"/>
    <w:p>
      <w:pPr>
        <w:pStyle w:val="Heading2"/>
      </w:pPr>
      <w:r>
        <w:t xml:space="preserve">§3.4 Data Sources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¶1 — One source:</w:t>
      </w:r>
      <w:r>
        <w:t xml:space="preserve"> </w:t>
      </w:r>
      <w:r>
        <w:t xml:space="preserve">the Nielsen/Prometheus scanner panel, the core forecasting input.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¶2 — Structure.</w:t>
      </w:r>
      <w:r>
        <w:t xml:space="preserve"> </w:t>
      </w:r>
      <w:r>
        <w:t xml:space="preserve">Star schema (facts + market/period/product dimensions); 37–42 monthly periods per category (~3–3.5 years); base and promotional sales variants plus weighted distribution as an availability proxy; used under a confidentiality agreement.</w:t>
      </w:r>
    </w:p>
    <w:bookmarkEnd w:id="30"/>
    <w:bookmarkStart w:id="31" w:name="analytical-approach"/>
    <w:p>
      <w:pPr>
        <w:pStyle w:val="Heading2"/>
      </w:pPr>
      <w:r>
        <w:t xml:space="preserve">§3.5 Analytical Approach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Intro.</w:t>
      </w:r>
      <w:r>
        <w:t xml:space="preserve"> </w:t>
      </w:r>
      <w:r>
        <w:t xml:space="preserve">Each SRQ has a distinct evaluation protocol because the thesis evaluates accuracy, interface design, integration readiness, and output quality — different evidence types.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SRQ1.</w:t>
      </w:r>
      <w:r>
        <w:t xml:space="preserve"> </w:t>
      </w:r>
      <w:r>
        <w:t xml:space="preserve">Five models across categories; Optuna-tuned; MAPE/RMSE + peak RAM/runtime + stability (Klee &amp; Xia); specialised vs pooled; RAM by RSS (not tracemalloc), reported in Ch6.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SRQ2.</w:t>
      </w:r>
      <w:r>
        <w:t xml:space="preserve"> </w:t>
      </w:r>
      <w:r>
        <w:t xml:space="preserve">JSON function-calling with strict schemas; point forecast + interval (Kuleshov; calibration a design target); inverse-MAPE combination (Ahrens); reliability via validation, traceability via mapping; lightweight coordinator, LangGraph as production target.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SRQ3.</w:t>
      </w:r>
      <w:r>
        <w:t xml:space="preserve"> </w:t>
      </w:r>
      <w:r>
        <w:t xml:space="preserve">Capability-readiness of the four capabilities against the real Prometheus (Graph Engine), not a live integration experiment.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SRQ4.</w:t>
      </w:r>
      <w:r>
        <w:t xml:space="preserve"> </w:t>
      </w:r>
      <w:r>
        <w:t xml:space="preserve">~50 shared prompts; dedicated-model vs code-as-action (E2B sandbox); correctness/consistency/replicability (primary) + cost/latency (secondary); LLM-as-judge with separate judge, bias awareness, human subset; pilot scale.</w:t>
      </w:r>
    </w:p>
    <w:bookmarkEnd w:id="31"/>
    <w:bookmarkStart w:id="32" w:name="validity-and-reliability"/>
    <w:p>
      <w:pPr>
        <w:pStyle w:val="Heading2"/>
      </w:pPr>
      <w:r>
        <w:t xml:space="preserve">§3.6 Validity and Reliability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Internal validity.</w:t>
      </w:r>
      <w:r>
        <w:t xml:space="preserve"> </w:t>
      </w:r>
      <w:r>
        <w:t xml:space="preserve">Common split across models; fixed seeds + documented preprocessing; single manipulation in SRQ4 isolates the dedicated-model contribution.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External validity.</w:t>
      </w:r>
      <w:r>
        <w:t xml:space="preserve"> </w:t>
      </w:r>
      <w:r>
        <w:t xml:space="preserve">Explicitly bounded (Danish market, 8 GB, monthly batch); single-case design strengthens relevance but limits statistical generalisation.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Construct validity.</w:t>
      </w:r>
      <w:r>
        <w:t xml:space="preserve"> </w:t>
      </w:r>
      <w:r>
        <w:t xml:space="preserve">Each SRQ operationalised through pre-specified metrics to prevent post-hoc metric-selection bias.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Reliability.</w:t>
      </w:r>
      <w:r>
        <w:t xml:space="preserve"> </w:t>
      </w:r>
      <w:r>
        <w:t xml:space="preserve">Code versioning, documented hyperparameters, fixed seeds; LLM-judge non-determinism mitigated by temperature 0 and full logging of prompts/outputs for audit.</w:t>
      </w:r>
    </w:p>
    <w:bookmarkEnd w:id="32"/>
    <w:bookmarkStart w:id="33" w:name="limitations"/>
    <w:p>
      <w:pPr>
        <w:pStyle w:val="Heading2"/>
      </w:pPr>
      <w:r>
        <w:t xml:space="preserve">§3.7 Limitations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Intro.</w:t>
      </w:r>
      <w:r>
        <w:t xml:space="preserve"> </w:t>
      </w:r>
      <w:r>
        <w:t xml:space="preserve">Five limitations bound scope and generalisability.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Data confidentiality.</w:t>
      </w:r>
      <w:r>
        <w:t xml:space="preserve"> </w:t>
      </w:r>
      <w:r>
        <w:t xml:space="preserve">Raw data cannot be redistributed → reproducibility limited to features, code, protocol.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Training sample size.</w:t>
      </w:r>
      <w:r>
        <w:t xml:space="preserve"> </w:t>
      </w:r>
      <w:r>
        <w:t xml:space="preserve">37–42 periods is near the lower bound; meets the ARIMA minimum but limits multi-year seasonal power; partially mitigated by lag/rolling features.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Pilot-scale SRQ4.</w:t>
      </w:r>
      <w:r>
        <w:t xml:space="preserve"> </w:t>
      </w:r>
      <w:r>
        <w:t xml:space="preserve">~50 prompts → indicative, not conclusive; full evaluation is future work.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Sequential execution.</w:t>
      </w:r>
      <w:r>
        <w:t xml:space="preserve"> </w:t>
      </w:r>
      <w:r>
        <w:t xml:space="preserve">The 8 GB budget forces sequential model runs, increasing latency; acceptable for monthly batch, not for higher-frequency cycles.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Case generalisability.</w:t>
      </w:r>
      <w:r>
        <w:t xml:space="preserve"> </w:t>
      </w:r>
      <w:r>
        <w:t xml:space="preserve">Strong relevance to Manifold but limited statistical generalisation; design principles transferable via the DSR mechanism, to be validated elsewhere.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Paragraph-by-Paragraph Walkthrough — Chapters 1–3</dc:title>
  <dc:creator>Enrico Manfron</dc:creator>
  <cp:keywords/>
  <dcterms:created xsi:type="dcterms:W3CDTF">2026-06-30T09:05:59Z</dcterms:created>
  <dcterms:modified xsi:type="dcterms:W3CDTF">2026-06-30T09:05:59Z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What each paragraph says · Introduction, Literature Review, Methodology</vt:lpwstr>
  </property>
</Properties>
</file>