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hapter-10-conclusion"/>
    <w:p>
      <w:pPr>
        <w:pStyle w:val="Heading1"/>
      </w:pPr>
      <w:r>
        <w:t xml:space="preserve">Chapter 10 — Conclusion</w:t>
      </w:r>
    </w:p>
    <w:p>
      <w:r>
        <w:pict>
          <v:rect style="width:0;height:1.5pt" o:hralign="center" o:hrstd="t" o:hr="t"/>
        </w:pict>
      </w:r>
    </w:p>
    <w:bookmarkStart w:id="9" w:name="summary-of-contributions"/>
    <w:p>
      <w:pPr>
        <w:pStyle w:val="Heading2"/>
      </w:pPr>
      <w:r>
        <w:t xml:space="preserve">10.1 Summary of contributions</w:t>
      </w:r>
    </w:p>
    <w:p>
      <w:pPr>
        <w:pStyle w:val="Compact"/>
        <w:numPr>
          <w:ilvl w:val="0"/>
          <w:numId w:val="1001"/>
        </w:numPr>
      </w:pPr>
      <w:r>
        <w:t xml:space="preserve">Restate the main RQ:</w:t>
      </w:r>
      <w:r>
        <w:t xml:space="preserve"> </w:t>
      </w:r>
      <w:r>
        <w:rPr>
          <w:i/>
          <w:iCs/>
        </w:rPr>
        <w:t xml:space="preserve">How can production-oriented agentic decision-support systems without native predictive capabilities be extended with lightweight forecasting models to support reliable, forecast-informed, and cost-justified decision-making under computational and deployment constraints?</w:t>
      </w:r>
    </w:p>
    <w:p>
      <w:pPr>
        <w:pStyle w:val="Compact"/>
        <w:numPr>
          <w:ilvl w:val="0"/>
          <w:numId w:val="1001"/>
        </w:numPr>
      </w:pPr>
      <w:r>
        <w:t xml:space="preserve">Answer each SRQ in 2 to 3 sentences based on findings:</w:t>
      </w:r>
    </w:p>
    <w:p>
      <w:pPr>
        <w:pStyle w:val="Compact"/>
        <w:numPr>
          <w:ilvl w:val="1"/>
          <w:numId w:val="1002"/>
        </w:numPr>
      </w:pPr>
      <w:r>
        <w:t xml:space="preserve">SRQ1: [best lightweight model(s); accuracy/MAPE; RAM footprint; stability; specialised vs pooled, within or near the 8GB constraint]</w:t>
      </w:r>
    </w:p>
    <w:p>
      <w:pPr>
        <w:pStyle w:val="Compact"/>
        <w:numPr>
          <w:ilvl w:val="1"/>
          <w:numId w:val="1002"/>
        </w:numPr>
      </w:pPr>
      <w:r>
        <w:t xml:space="preserve">SRQ2: [structured forecast-tool interface: reliability via output validation, uncertainty via intervals, traceability achieved or partial]</w:t>
      </w:r>
    </w:p>
    <w:p>
      <w:pPr>
        <w:pStyle w:val="Compact"/>
        <w:numPr>
          <w:ilvl w:val="1"/>
          <w:numId w:val="1002"/>
        </w:numPr>
      </w:pPr>
      <w:r>
        <w:t xml:space="preserve">SRQ3: [integration-readiness capabilities present or absent in the production-oriented case (Prometheus / Graph Engine); what a forecast-informed integration requires]</w:t>
      </w:r>
    </w:p>
    <w:p>
      <w:pPr>
        <w:pStyle w:val="Compact"/>
        <w:numPr>
          <w:ilvl w:val="1"/>
          <w:numId w:val="1002"/>
        </w:numPr>
      </w:pPr>
      <w:r>
        <w:t xml:space="preserve">SRQ4: [dedicated-model integration vs code-as-action LLM baseline on correctness, consistency, replicability, cost, latency; where dedicated ML is justified and where LLM-plus-code suffices]</w:t>
      </w:r>
    </w:p>
    <w:p>
      <w:pPr>
        <w:pStyle w:val="Compact"/>
        <w:numPr>
          <w:ilvl w:val="0"/>
          <w:numId w:val="1001"/>
        </w:numPr>
      </w:pPr>
      <w:r>
        <w:t xml:space="preserve">State the thesis’s position: a design artefact plus transferable design knowledge for extending non-predictive agentic decision-support systems with a lightweight forecasting substrate under resource constraints (a DSR design artefact; evaluation pending)</w:t>
      </w:r>
    </w:p>
    <w:p>
      <w:r>
        <w:pict>
          <v:rect style="width:0;height:1.5pt" o:hralign="center" o:hrstd="t" o:hr="t"/>
        </w:pict>
      </w:r>
    </w:p>
    <w:bookmarkEnd w:id="9"/>
    <w:bookmarkStart w:id="10" w:name="Xcd130b67bbbc9c600548446f7d882be8a75f125"/>
    <w:p>
      <w:pPr>
        <w:pStyle w:val="Heading2"/>
      </w:pPr>
      <w:r>
        <w:t xml:space="preserve">10.2 Theoretical contribution (design principles)</w:t>
      </w:r>
    </w:p>
    <w:p>
      <w:pPr>
        <w:pStyle w:val="Compact"/>
        <w:numPr>
          <w:ilvl w:val="0"/>
          <w:numId w:val="1003"/>
        </w:numPr>
      </w:pPr>
      <w:r>
        <w:t xml:space="preserve">Propose generalisable design principles (DSR design-theory output):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Sequential execution principle</w:t>
      </w:r>
      <w:r>
        <w:t xml:space="preserve">: ML pipeline RAM budgets must be planned for sequential, not concurrent, model execution; a load, run, unload protocol enables sub-8GB multi-model forecasting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Delegation-over-generation principle</w:t>
      </w:r>
      <w:r>
        <w:t xml:space="preserve">: the LLM should orchestrate and delegate numerical prediction to dedicated models rather than generate predictions, or its own forecasting code, itself, when correctness, consistency, and replicability matter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Cost-justification principle</w:t>
      </w:r>
      <w:r>
        <w:t xml:space="preserve">: dedicated-model integration should be adopted only where it demonstrably beats a code-as-action LLM baseline on the decision-relevant dimensions at justified cost and latency; otherwise an LLM-plus-code approach may suffice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Structured-interface reliability principle</w:t>
      </w:r>
      <w:r>
        <w:t xml:space="preserve">: exposing forecasts through a structured tool/action interface with output validation and a recorded tool-call-to-recommendation mapping is what makes agentic numerical decision-support auditable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Computational transparency principle</w:t>
      </w:r>
      <w:r>
        <w:t xml:space="preserve">: deployment-oriented AI artefacts should report RAM, cost, and latency alongside accuracy; these are decision-relevant properties for SME adopters</w:t>
      </w:r>
    </w:p>
    <w:p>
      <w:pPr>
        <w:pStyle w:val="Compact"/>
        <w:numPr>
          <w:ilvl w:val="0"/>
          <w:numId w:val="1003"/>
        </w:numPr>
      </w:pPr>
      <w:r>
        <w:t xml:space="preserve">Note: uncertainty calibration is a design consideration deferred to future work (see §10.5)</w:t>
      </w:r>
    </w:p>
    <w:p>
      <w:pPr>
        <w:pStyle w:val="Compact"/>
        <w:numPr>
          <w:ilvl w:val="0"/>
          <w:numId w:val="1003"/>
        </w:numPr>
      </w:pPr>
      <w:r>
        <w:t xml:space="preserve">Cite: DSR design-theory sources (Hevner et al., 2004; Peffers et al., 2007; plus AI-DSR references)</w:t>
      </w:r>
    </w:p>
    <w:p>
      <w:r>
        <w:pict>
          <v:rect style="width:0;height:1.5pt" o:hralign="center" o:hrstd="t" o:hr="t"/>
        </w:pict>
      </w:r>
    </w:p>
    <w:bookmarkEnd w:id="10"/>
    <w:bookmarkStart w:id="11" w:name="X066c1eff46108bfd706e75eae38d8c5c5fee622"/>
    <w:p>
      <w:pPr>
        <w:pStyle w:val="Heading2"/>
      </w:pPr>
      <w:r>
        <w:t xml:space="preserve">10.3 Practical recommendations for Manifold AI</w:t>
      </w:r>
    </w:p>
    <w:p>
      <w:pPr>
        <w:pStyle w:val="Compact"/>
        <w:numPr>
          <w:ilvl w:val="0"/>
          <w:numId w:val="1005"/>
        </w:numPr>
      </w:pPr>
      <w:r>
        <w:t xml:space="preserve">Integrate the lightweight forecasting substrate as a callable tool in the production agentic system (Prometheus) via its Graph Engine, exposing forecasts and uncertainty through the structured interface</w:t>
      </w:r>
    </w:p>
    <w:p>
      <w:pPr>
        <w:pStyle w:val="Compact"/>
        <w:numPr>
          <w:ilvl w:val="0"/>
          <w:numId w:val="1005"/>
        </w:numPr>
      </w:pPr>
      <w:r>
        <w:t xml:space="preserve">Adopt dedicated-model integration where the SRQ4 evaluation shows it beats the code-as-action baseline on correctness, consistency, and replicability at acceptable cost; otherwise rely on the LLM-plus-code approach</w:t>
      </w:r>
    </w:p>
    <w:p>
      <w:pPr>
        <w:pStyle w:val="Compact"/>
        <w:numPr>
          <w:ilvl w:val="0"/>
          <w:numId w:val="1005"/>
        </w:numPr>
      </w:pPr>
      <w:r>
        <w:t xml:space="preserve">Infrastructure: deployable within an approximately 8GB RAM budget (for example a t3.large-class cloud instance), no GPU required [cloud-pricing citation: resolve in global references pass]</w:t>
      </w:r>
    </w:p>
    <w:p>
      <w:r>
        <w:pict>
          <v:rect style="width:0;height:1.5pt" o:hralign="center" o:hrstd="t" o:hr="t"/>
        </w:pict>
      </w:r>
    </w:p>
    <w:bookmarkEnd w:id="11"/>
    <w:bookmarkStart w:id="12" w:name="limitations-recap"/>
    <w:p>
      <w:pPr>
        <w:pStyle w:val="Heading2"/>
      </w:pPr>
      <w:r>
        <w:t xml:space="preserve">10.4 Limitations recap</w:t>
      </w:r>
    </w:p>
    <w:p>
      <w:pPr>
        <w:pStyle w:val="Compact"/>
        <w:numPr>
          <w:ilvl w:val="0"/>
          <w:numId w:val="1006"/>
        </w:numPr>
      </w:pPr>
      <w:r>
        <w:t xml:space="preserve">Empirical context bounded to the Danish beverage retail market (five Nielsen categories) and a single partner company</w:t>
      </w:r>
    </w:p>
    <w:p>
      <w:pPr>
        <w:pStyle w:val="Compact"/>
        <w:numPr>
          <w:ilvl w:val="0"/>
          <w:numId w:val="1006"/>
        </w:numPr>
      </w:pPr>
      <w:r>
        <w:t xml:space="preserve">One DSR design cycle; findings require validation across additional contexts before generalisation</w:t>
      </w:r>
    </w:p>
    <w:p>
      <w:pPr>
        <w:pStyle w:val="Compact"/>
        <w:numPr>
          <w:ilvl w:val="0"/>
          <w:numId w:val="1006"/>
        </w:numPr>
      </w:pPr>
      <w:r>
        <w:t xml:space="preserve">SRQ4 evaluation at pilot scale (on the order of fifty prompts), not a full study; results provisional pending the final improved models</w:t>
      </w:r>
    </w:p>
    <w:p>
      <w:pPr>
        <w:pStyle w:val="Compact"/>
        <w:numPr>
          <w:ilvl w:val="0"/>
          <w:numId w:val="1006"/>
        </w:numPr>
      </w:pPr>
      <w:r>
        <w:t xml:space="preserve">SRQ3 assessed as integration readiness (production access pending), not a live integration</w:t>
      </w:r>
    </w:p>
    <w:p>
      <w:pPr>
        <w:pStyle w:val="Compact"/>
        <w:numPr>
          <w:ilvl w:val="0"/>
          <w:numId w:val="1006"/>
        </w:numPr>
      </w:pPr>
      <w:r>
        <w:t xml:space="preserve">LLM API dependency for the agentic layer; uncertainty calibration is designed but not empirically validated</w:t>
      </w:r>
    </w:p>
    <w:p>
      <w:r>
        <w:pict>
          <v:rect style="width:0;height:1.5pt" o:hralign="center" o:hrstd="t" o:hr="t"/>
        </w:pict>
      </w:r>
    </w:p>
    <w:bookmarkEnd w:id="12"/>
    <w:bookmarkStart w:id="13" w:name="future-research"/>
    <w:p>
      <w:pPr>
        <w:pStyle w:val="Heading2"/>
      </w:pPr>
      <w:r>
        <w:t xml:space="preserve">10.5 Future research</w:t>
      </w:r>
    </w:p>
    <w:p>
      <w:pPr>
        <w:pStyle w:val="Compact"/>
        <w:numPr>
          <w:ilvl w:val="0"/>
          <w:numId w:val="1007"/>
        </w:numPr>
      </w:pPr>
      <w:r>
        <w:t xml:space="preserve">Full-scale SRQ4 evaluation across the complete prompt set; a second DSR cycle refining the design principles</w:t>
      </w:r>
    </w:p>
    <w:p>
      <w:pPr>
        <w:pStyle w:val="Compact"/>
        <w:numPr>
          <w:ilvl w:val="0"/>
          <w:numId w:val="1007"/>
        </w:numPr>
      </w:pPr>
      <w:r>
        <w:t xml:space="preserve">Active integration into the production system (Prometheus Graph Engine) once access is granted: a before/after study on reliability and cost</w:t>
      </w:r>
    </w:p>
    <w:p>
      <w:pPr>
        <w:pStyle w:val="Compact"/>
        <w:numPr>
          <w:ilvl w:val="0"/>
          <w:numId w:val="1007"/>
        </w:numPr>
      </w:pPr>
      <w:r>
        <w:t xml:space="preserve">Empirical calibration of forecast uncertainty (post-hoc isotonic regression), currently designed only</w:t>
      </w:r>
    </w:p>
    <w:p>
      <w:pPr>
        <w:pStyle w:val="Compact"/>
        <w:numPr>
          <w:ilvl w:val="0"/>
          <w:numId w:val="1007"/>
        </w:numPr>
      </w:pPr>
      <w:r>
        <w:t xml:space="preserve">Adapt for streaming/real-time forecasting (currently monthly batch processing)</w:t>
      </w:r>
    </w:p>
    <w:p>
      <w:pPr>
        <w:pStyle w:val="Compact"/>
        <w:numPr>
          <w:ilvl w:val="0"/>
          <w:numId w:val="1007"/>
        </w:numPr>
      </w:pPr>
      <w:r>
        <w:t xml:space="preserve">Code-as-action as the artefact’s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action format (replacing JSON function-calling), distinct from its use as the SRQ4 baseline, where the prototype’s 0% numerical hallucination under JSON makes the marginal benefit an open question (Wang et al., 2024)</w:t>
      </w:r>
    </w:p>
    <w:p>
      <w:r>
        <w:pict>
          <v:rect style="width:0;height:1.5pt" o:hralign="center" o:hrstd="t" o:hr="t"/>
        </w:pict>
      </w:r>
    </w:p>
    <w:bookmarkEnd w:id="13"/>
    <w:bookmarkStart w:id="14" w:name="final-statement"/>
    <w:p>
      <w:pPr>
        <w:pStyle w:val="Heading2"/>
      </w:pPr>
      <w:r>
        <w:t xml:space="preserve">10.6 Final statement</w:t>
      </w:r>
    </w:p>
    <w:p>
      <w:pPr>
        <w:pStyle w:val="Compact"/>
        <w:numPr>
          <w:ilvl w:val="0"/>
          <w:numId w:val="1008"/>
        </w:numPr>
      </w:pPr>
      <w:r>
        <w:t xml:space="preserve">The thesis demonstrates how a resource-constrained agentic decision-support system can be extended with lightweight forecasting, the LLM structuring and contextualising dedicated-model predictions rather than replacing domain expertise or generating the predictions itself</w:t>
      </w:r>
    </w:p>
    <w:p>
      <w:pPr>
        <w:pStyle w:val="Compact"/>
        <w:numPr>
          <w:ilvl w:val="0"/>
          <w:numId w:val="1008"/>
        </w:numPr>
      </w:pPr>
      <w:r>
        <w:t xml:space="preserve">This positions AI as a calibrated decision partner, not a replacement for the category manager</w:t>
      </w:r>
    </w:p>
    <w:p>
      <w:pPr>
        <w:pStyle w:val="Compact"/>
        <w:numPr>
          <w:ilvl w:val="0"/>
          <w:numId w:val="1008"/>
        </w:numPr>
      </w:pPr>
      <w:r>
        <w:t xml:space="preserve">Close with the IS research framing: a validated DSR artefact plus design knowledge on cost-justified, forecast-informed agentic decision-support in SME retail contexts</w:t>
      </w:r>
    </w:p>
    <w:p>
      <w:r>
        <w:pict>
          <v:rect style="width:0;height:1.5pt" o:hralign="center" o:hrstd="t" o:hr="t"/>
        </w:pict>
      </w:r>
    </w:p>
    <w:bookmarkEnd w:id="14"/>
    <w:bookmarkStart w:id="15" w:name="outstanding-decisions"/>
    <w:p>
      <w:pPr>
        <w:pStyle w:val="Heading2"/>
      </w:pPr>
      <w:r>
        <w:t xml:space="preserve">Outstanding decisions</w:t>
      </w:r>
    </w:p>
    <w:p>
      <w:pPr>
        <w:pStyle w:val="Compact"/>
        <w:numPr>
          <w:ilvl w:val="0"/>
          <w:numId w:val="1009"/>
        </w:numPr>
      </w:pPr>
      <w:r>
        <w:t xml:space="preserve">Exact</w:t>
      </w:r>
      <w:r>
        <w:t xml:space="preserve"> </w:t>
      </w:r>
      <w:r>
        <w:t xml:space="preserve">“answer”</w:t>
      </w:r>
      <w:r>
        <w:t xml:space="preserve"> </w:t>
      </w:r>
      <w:r>
        <w:t xml:space="preserve">language for each SRQ, dependent on the final empirical results</w:t>
      </w:r>
    </w:p>
    <w:p>
      <w:pPr>
        <w:pStyle w:val="Compact"/>
        <w:numPr>
          <w:ilvl w:val="0"/>
          <w:numId w:val="1009"/>
        </w:numPr>
      </w:pPr>
      <w:r>
        <w:t xml:space="preserve">Whether to include a one-page executive summary before Chapter 1 (not counted toward page limit)</w:t>
      </w:r>
    </w:p>
    <w:p>
      <w:pPr>
        <w:pStyle w:val="Compact"/>
        <w:numPr>
          <w:ilvl w:val="0"/>
          <w:numId w:val="1009"/>
        </w:numPr>
      </w:pPr>
      <w:r>
        <w:t xml:space="preserve">Whether to add a reflective paragraph on the collaborative human-AI research process (relevant to the philosophy-of-science section)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2026-06-20T10:00:32Z</dcterms:created>
  <dcterms:modified xsi:type="dcterms:W3CDTF">2026-06-20T10:00:32Z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