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355bd48ac311cd900af31a410c275519c7d350"/>
    <w:p>
      <w:pPr>
        <w:pStyle w:val="Heading1"/>
      </w:pPr>
      <w:r>
        <w:t xml:space="preserve">Chapter 2 — Literature Review: Forecast-Informed Agentic Decision-Support under Constraints</w:t>
      </w:r>
    </w:p>
    <w:p>
      <w:pPr>
        <w:pStyle w:val="BlockText"/>
      </w:pPr>
      <w:r>
        <w:t xml:space="preserve">Status: PROSE DRAFT — written 2026-04-12; §2.2 reframed 2026-06-27 to separate Ng’s raw-data-volume constraint (platform scale) from the thesis’s binding deployment-cost constraint (the aggregated modelling set is small; the 8GB budget binds model selection, not the realised footprint)</w:t>
      </w:r>
      <w:r>
        <w:t xml:space="preserve"> </w:t>
      </w:r>
      <w:r>
        <w:t xml:space="preserve">Author: Claude Code (Sonnet 4.6) — requires human review before finalisation</w:t>
      </w:r>
      <w:r>
        <w:t xml:space="preserve"> </w:t>
      </w:r>
      <w:r>
        <w:t xml:space="preserve">Word count target: ~22 standard CBS pages (~50,050 chars excl. spaces)</w:t>
      </w:r>
      <w:r>
        <w:t xml:space="preserve"> </w:t>
      </w:r>
      <w:r>
        <w:t xml:space="preserve">All citations resolved: 0 CITATION NEEDED flags remain</w:t>
      </w:r>
    </w:p>
    <w:p>
      <w:r>
        <w:pict>
          <v:rect style="width:0;height:1.5pt" o:hralign="center" o:hrstd="t" o:hr="t"/>
        </w:pict>
      </w:r>
    </w:p>
    <w:bookmarkStart w:id="9" w:name="chapter-introduction"/>
    <w:p>
      <w:pPr>
        <w:pStyle w:val="Heading2"/>
      </w:pPr>
      <w:r>
        <w:t xml:space="preserve">2.0 Chapter Introduction</w:t>
      </w:r>
    </w:p>
    <w:p>
      <w:pPr>
        <w:pStyle w:val="FirstParagraph"/>
      </w:pPr>
      <w:r>
        <w:t xml:space="preserve">This chapter reviews the literature that situates the thesis’s central problem: how a production-oriented agentic decision-support system that lacks native predictive capability can be extended with lightweight forecasting models to support reliable, forecast-informed decision-making under computational and deployment constraints. The review is organised so that each body of literature supplies one element of that problem, and the elements are then shown to be jointly under-addressed.</w:t>
      </w:r>
    </w:p>
    <w:p>
      <w:pPr>
        <w:pStyle w:val="BodyText"/>
      </w:pPr>
      <w:r>
        <w:t xml:space="preserve">The research idea originated in a collaboration with Manifold AI, which introduced the topic in a university presentation; the authors took it up out of a shared academic interest in an ambitious and still under-exploited application of AI, namely the extension of agentic systems from describing the past toward supporting forward-looking, forecast-informed decisions. As the research questions were refined over the course of the project, from an initial multi-agent framing toward the present focus on forecast-informed, cost-justified decision support, the scope of the reviewed literature was refined in step, in the iterative manner characteristic of a literature review (Saunders et al., 2023).</w:t>
      </w:r>
    </w:p>
    <w:p>
      <w:pPr>
        <w:pStyle w:val="BodyText"/>
      </w:pPr>
      <w:r>
        <w:t xml:space="preserve">This chapter is a narrative, integrative review rather than a systematic review (Saunders et al., 2023): the contribution lies at the intersection of several distinct literatures rather than in a single bounded effectiveness question, so a thematic synthesis is more appropriate than a protocol-driven search. The search was conducted using Google Scholar and NotebookLM, with references managed in Zotero. Starting from the research questions, key concepts and search terms were defined for each thematic area; an initial set of approximately one hundred records was screened by title, of which around forty were retained and assessed more closely by abstract, introduction, and conclusion. Retained sources were mapped onto the predefined thematic areas, and areas found to be under-covered prompted additional search terms and further rounds of searching and evaluation until the themes were adequately covered. Sources were selected for relevance to the research questions and read in full; peer-reviewed work was prioritised, and non-peer-reviewed preprints were included only where they constitute the closest available precedent and are flagged as such throughout. The review draws on the resulting corpus of thirty-nine cited sources, of which fifteen are flagged preprints.</w:t>
      </w:r>
    </w:p>
    <w:p>
      <w:pPr>
        <w:pStyle w:val="BodyText"/>
      </w:pPr>
      <w:r>
        <w:t xml:space="preserve">The chapter proceeds in eight thematic sections. Section 2.1 reviews forecasting as the predictive substrate for FMCG demand, and Section 2.2 the lightweight-model and resource-constraint literature that governs how such a substrate can be deployed economically. Section 2.3 turns to the decision side, reviewing the move from descriptive business intelligence to forecast-informed decision-support and the peer-reviewed evidence that predictions create value through their connection to downstream decisions. Section 2.4 reviews LLM agents and tool-mediated reasoning, the mechanism by which a forecast can be exposed to a decision-support agent, and Section 2.5 the reliability, traceability, uncertainty, and evaluation requirements that such agentic outputs entail. Section 2.6 reviews production-oriented agentic systems and the capabilities required for integration. Section 2.7 consolidates these strands into the research gap the thesis addresses, and Section 2.8 establishes Design Science Research as the methodological paradigm. Section 2.9 summarises the review and transitions to the methodology.</w:t>
      </w:r>
    </w:p>
    <w:p>
      <w:pPr>
        <w:pStyle w:val="BodyText"/>
      </w:pPr>
      <w:r>
        <w:t xml:space="preserve">Throughout, a distinction is maintained between what the reviewed literature establishes and what the thesis designs, plans to evaluate, or leaves to future work, so that the gap statement rests on evidence rather than aspiration.</w:t>
      </w:r>
    </w:p>
    <w:p>
      <w:r>
        <w:pict>
          <v:rect style="width:0;height:1.5pt" o:hralign="center" o:hrstd="t" o:hr="t"/>
        </w:pict>
      </w:r>
    </w:p>
    <w:bookmarkEnd w:id="9"/>
    <w:bookmarkStart w:id="10" w:name="Xbf11726cb863d57b5eac0b8d323f18ad3d001d9"/>
    <w:p>
      <w:pPr>
        <w:pStyle w:val="Heading2"/>
      </w:pPr>
      <w:r>
        <w:t xml:space="preserve">2.1 Forecasting as Predictive Substrate in FMCG</w:t>
      </w:r>
    </w:p>
    <w:p>
      <w:pPr>
        <w:pStyle w:val="FirstParagraph"/>
      </w:pPr>
      <w:r>
        <w:rPr>
          <w:i/>
          <w:iCs/>
        </w:rPr>
        <w:t xml:space="preserve">Maps to SRQ1</w:t>
      </w:r>
    </w:p>
    <w:p>
      <w:pPr>
        <w:pStyle w:val="BodyText"/>
      </w:pPr>
      <w:r>
        <w:t xml:space="preserve">The predictive substrate of a forecast-informed decision-support system is a demand-forecasting model. The retail FMCG forecasting literature has converged on a set of modelling approaches whose relative performance depends on the characteristics of the demand series: its temporal regularity, the availability of exogenous features, the size of the training set, and the computational resources available at inference. The models considered as the substrate in this thesis, namely ARIMA, Prophet, LightGBM, XGBoost, and Ridge Regression, span classical statistical approaches through gradient-boosted tree ensembles, chosen to cover the accuracy–efficiency trade-off frontier; the computational dimension is developed in Section 2.2.</w:t>
      </w:r>
    </w:p>
    <w:p>
      <w:pPr>
        <w:pStyle w:val="BodyText"/>
      </w:pPr>
      <w:r>
        <w:t xml:space="preserve">The large-scale forecasting competitions provide the empirical backdrop. The M4 Competition (Makridakis et al., 2020), spanning 100,000 series and 61 methods, established that combining models tends to outperform any single best model and that hybrids of statistical structure and machine learning achieve the highest accuracy. The M5 Competition (Makridakis et al., 2022), focused on hierarchical retail sales forecasting on Walmart scanner data, is directly relevant: many top-performing submissions relied heavily on gradient-boosted tree models, including LightGBM, and submissions incorporating exogenous promotional and calendar features outperformed those using sales history alone. These results motivate three substrate choices in this thesis: benchmarking multiple models rather than pre-selecting one, including LightGBM as a primary candidate, and incorporating exogenous features where available.</w:t>
      </w:r>
    </w:p>
    <w:p>
      <w:pPr>
        <w:pStyle w:val="BodyText"/>
      </w:pPr>
      <w:r>
        <w:t xml:space="preserve">Domain studies reinforce these findings in FMCG specifically. Ceran et al. (2024), working with a large grocery retailer, identify LightGBM as achieving strong accuracy at a low memory footprint in a real retail setting, and use a MAPE of fifteen percent or below as a practical benchmark for acceptable demand forecasting in their retail setting. Ma et al. (2025) extend this to the beverage sector, showing that machine learning models enriched with exogenous contextual features can outperform statistical baselines for high-volume, stable SKUs, with no single model dominating across demand patterns, a finding that motivates evaluating category-specialised models rather than assuming one model suits all categories. Nguyen et al. (2025), reviewing over 120 machine learning papers in economic forecasting and SME applications, identify LightGBM and XGBoost as well suited to short-horizon forecasting with limited training observations, the regime of this thesis, in which each category provides roughly three years of monthly observations.</w:t>
      </w:r>
    </w:p>
    <w:p>
      <w:pPr>
        <w:pStyle w:val="BodyText"/>
      </w:pPr>
      <w:r>
        <w:t xml:space="preserve">Two further results shape the substrate design. Ahrens et al. (2024) provide theoretical grounding for model combination, showing that stacked averaging, and inverse-variance weighting in particular, can improve accuracy over individual learners; this supports combining multiple forecasts rather than relying on a single model. Klee and Xia (2025) draw attention to forecast stability across repeated production runs, defining stability as the coefficient of variation of forecasts under nominally identical inputs and finding evidence that tree ensembles can be more stable than classical statistical models under promotional conditions; they argue that stability is a production-relevant criterion alongside accuracy. These results motivate evaluating the substrate, in the SRQ1 benchmark, on the joint criteria of accuracy, computational efficiency, and stability.</w:t>
      </w:r>
    </w:p>
    <w:p>
      <w:pPr>
        <w:pStyle w:val="BodyText"/>
      </w:pPr>
      <w:r>
        <w:t xml:space="preserve">The computational dimension of this substrate, namely why lightweight models are necessary under a constrained deployment budget, is developed in the next section.</w:t>
      </w:r>
    </w:p>
    <w:p>
      <w:r>
        <w:pict>
          <v:rect style="width:0;height:1.5pt" o:hralign="center" o:hrstd="t" o:hr="t"/>
        </w:pict>
      </w:r>
    </w:p>
    <w:bookmarkEnd w:id="10"/>
    <w:bookmarkStart w:id="11" w:name="Xf4e36b7efb95b421bb29dd2d033020022c0996c"/>
    <w:p>
      <w:pPr>
        <w:pStyle w:val="Heading2"/>
      </w:pPr>
      <w:r>
        <w:t xml:space="preserve">2.2 Lightweight ML under Computational and Deployment Constraints</w:t>
      </w:r>
    </w:p>
    <w:p>
      <w:pPr>
        <w:pStyle w:val="FirstParagraph"/>
      </w:pPr>
      <w:r>
        <w:rPr>
          <w:i/>
          <w:iCs/>
        </w:rPr>
        <w:t xml:space="preserve">Maps to SRQ1 and Main RQ</w:t>
      </w:r>
    </w:p>
    <w:p>
      <w:pPr>
        <w:pStyle w:val="BodyText"/>
      </w:pPr>
      <w:r>
        <w:t xml:space="preserve">The deployment of AI systems in real business settings is subject to computational constraints that are often treated as secondary design considerations in forecasting research. For a small or medium-sized provider, the relevant budget is not the data-centre scale assumed in much of the agent literature but a modest cloud instance. The cost asymmetry is substantial: transformer-based forecasters and locally hosted large language models often require substantially more accelerator memory than lightweight tabular models, available only on GPU instances that are markedly more expensive to run continuously than a general-purpose instance with a few gigabytes of RAM; for a provider serving inference across many client queries, this difference can materially affect operating costs. Computational efficiency is therefore a binding consideration rather than an afterthought.</w:t>
      </w:r>
    </w:p>
    <w:p>
      <w:pPr>
        <w:pStyle w:val="BodyText"/>
      </w:pPr>
      <w:r>
        <w:t xml:space="preserve">A precedent for treating memory as a first-order design variable in this domain comes from Ng (2017), who, analysing four terabytes of Nielsen scanner data, showed that memory can become the primary binding constraint in retail scanner-data analysis: at the full panel scale, in-memory analysis becomes infeasible and memory-efficient algorithmic choices become necessary rather than merely convenient. Two levels must be distinguished, however. Ng’s constraint is one of raw-data volume, which binds at the platform scale at which a production system ingests the complete scanner panel; the present thesis, by contrast, aggregates the panel to a brand-by-month modelling set of a few thousand rows per category (Chapter 4), at which data volume is no longer the binding factor. The constraint that does bind here is the deployment budget introduced above: the modest cloud instance an SME provider can afford to run continuously for inference, which excludes transformer and locally hosted large-language-model options before model fitting even begins. Ng therefore serves to establish that a memory budget is a legitimate, domain-grounded design variable rather than an artificial limitation, while making explicit that the budget operating in this thesis is one of deployment cost rather than of raw-data size.</w:t>
      </w:r>
    </w:p>
    <w:p>
      <w:pPr>
        <w:pStyle w:val="BodyText"/>
      </w:pPr>
      <w:r>
        <w:t xml:space="preserve">The edge-AI and resource-constrained-LLM literatures characterise the same problem at the model level. Liu et al. (2025) evaluate quantisation and distillation for edge deployments, showing that substantial accuracy can be preserved at sharply reduced memory footprints. Semerikov et al. (2025) survey resource-constrained LLM deployment, documenting that quantisation and knowledge distillation are the dominant practical strategies but that even aggressively compressed LLMs typically require on the order of one to four gigabytes. The implication for a multi-component pipeline that must simultaneously load data, run forecasting models, and host a reasoning layer is that local LLM inference is difficult to accommodate within a small fixed memory budget; accessing the language model through an external API, rather than loading it locally, is the more viable pattern under such constraints.</w:t>
      </w:r>
    </w:p>
    <w:p>
      <w:pPr>
        <w:pStyle w:val="BodyText"/>
      </w:pPr>
      <w:r>
        <w:t xml:space="preserve">Taken together with the FMCG forecasting evidence of the previous section, this literature supports the thesis’s substrate choice: lightweight gradient-boosted tree models, which the reviewed edge-AI and FMCG studies suggest may offer a favourable accuracy-to-memory ratio relative to deep-learning and transformer alternatives, evaluated explicitly against a fixed memory budget (on the order of eight gigabytes in this thesis’s deployment setting). The budget operates principally as a constraint on the model-selection space, ruling out transformer and locally hosted options at the design stage, rather than as a limit the selected lightweight models approach in practice; the realised footprint of the chosen substrate is shown in Chapter 5 to sit well within the budget. The memory-profiling method by which the thesis quantifies this budget, and the specific optimisation strategies it adopts, are matters of methodology and are presented in Chapters 3 and 5 rather than here.</w:t>
      </w:r>
    </w:p>
    <w:p>
      <w:r>
        <w:pict>
          <v:rect style="width:0;height:1.5pt" o:hralign="center" o:hrstd="t" o:hr="t"/>
        </w:pict>
      </w:r>
    </w:p>
    <w:bookmarkEnd w:id="11"/>
    <w:bookmarkStart w:id="12" w:name="Xccfe57d9110945eb36d75f386dcfcc257d8cb2b"/>
    <w:p>
      <w:pPr>
        <w:pStyle w:val="Heading2"/>
      </w:pPr>
      <w:r>
        <w:t xml:space="preserve">2.3 From Descriptive BI to Forecast-Informed Decision-Support</w:t>
      </w:r>
    </w:p>
    <w:p>
      <w:pPr>
        <w:pStyle w:val="FirstParagraph"/>
      </w:pPr>
      <w:r>
        <w:rPr>
          <w:i/>
          <w:iCs/>
        </w:rPr>
        <w:t xml:space="preserve">Maps to Main RQ and SRQ4</w:t>
      </w:r>
    </w:p>
    <w:p>
      <w:pPr>
        <w:pStyle w:val="BodyText"/>
      </w:pPr>
      <w:r>
        <w:t xml:space="preserve">Business intelligence systems have historically occupied the descriptive tier of the analytics spectrum, aggregating historical transactional data into dashboards, key performance indicator reports, and trend summaries. This descriptive function has generated substantial operational value for organisations, but the competitive dynamics of modern FMCG markets increasingly demand the ability to anticipate rather than retrospectively report. The transition from descriptive analytics to forecast-informed decision-support requires not only predictive models but a deliberate account of how forecasts are connected to the decisions they inform.</w:t>
      </w:r>
    </w:p>
    <w:p>
      <w:pPr>
        <w:pStyle w:val="BodyText"/>
      </w:pPr>
      <w:r>
        <w:t xml:space="preserve">A substantial peer-reviewed literature establishes that predictive models create value chiefly through their connection to downstream decisions. Elmachtoub and Grigas (2022), in the smart</w:t>
      </w:r>
      <w:r>
        <w:t xml:space="preserve"> </w:t>
      </w:r>
      <w:r>
        <w:t xml:space="preserve">“predict, then optimize”</w:t>
      </w:r>
      <w:r>
        <w:t xml:space="preserve"> </w:t>
      </w:r>
      <w:r>
        <w:t xml:space="preserve">framework, show that minimising prediction error is not equivalent to maximising decision quality: a prediction with small statistical error can yield a poor decision, while a less accurate prediction aligned with the decision boundary can yield a near-optimal one. They formalise a decision-aware loss and a tractable convex surrogate, demonstrating that training predictors with respect to the downstream objective improves the resulting decisions. Mandi et al. (2024), in a</w:t>
      </w:r>
      <w:r>
        <w:t xml:space="preserve"> </w:t>
      </w:r>
      <w:r>
        <w:rPr>
          <w:i/>
          <w:iCs/>
        </w:rPr>
        <w:t xml:space="preserve">Journal of Artificial Intelligence Research</w:t>
      </w:r>
      <w:r>
        <w:t xml:space="preserve"> </w:t>
      </w:r>
      <w:r>
        <w:t xml:space="preserve">survey of decision-focused learning, generalise this insight across a taxonomy of methods, noting that zero prediction loss implies zero decision loss but not the converse, and that no single method dominates across decision problems. Together, these works ground the principle that a forecast is valuable to the extent that it is connected to a downstream decision.</w:t>
      </w:r>
    </w:p>
    <w:p>
      <w:pPr>
        <w:pStyle w:val="BodyText"/>
      </w:pPr>
      <w:r>
        <w:t xml:space="preserve">This literature couples prediction and decision</w:t>
      </w:r>
      <w:r>
        <w:t xml:space="preserve"> </w:t>
      </w:r>
      <w:r>
        <w:rPr>
          <w:i/>
          <w:iCs/>
        </w:rPr>
        <w:t xml:space="preserve">tightly</w:t>
      </w:r>
      <w:r>
        <w:t xml:space="preserve">: the predictor is trained, through differentiable optimization, against a known and formally specified decision objective. Such coupling presumes a single, well-defined optimization program. Managerial decision-support in FMCG retail rarely presents such a program; decisions there are open-ended, context-dependent, and mediated by a human planner. The present thesis therefore investigates a</w:t>
      </w:r>
      <w:r>
        <w:t xml:space="preserve"> </w:t>
      </w:r>
      <w:r>
        <w:rPr>
          <w:i/>
          <w:iCs/>
        </w:rPr>
        <w:t xml:space="preserve">loose, agent-mediated</w:t>
      </w:r>
      <w:r>
        <w:t xml:space="preserve"> </w:t>
      </w:r>
      <w:r>
        <w:t xml:space="preserve">form of forecast-to-decision coupling, in which forecasts are produced by conventionally trained models and surfaced to a decision-support layer that reasons over them to generate recommendations. The tight-coupling literature motivates the underlying principle but does not address this loosely coupled, agent-mediated setting, and it does not concern large language model agents.</w:t>
      </w:r>
    </w:p>
    <w:p>
      <w:pPr>
        <w:pStyle w:val="BodyText"/>
      </w:pPr>
      <w:r>
        <w:t xml:space="preserve">Empirical work on the decision-support interface reinforces the value of this connection. Rinaldi et al. (2025) propose DSS4EX, a decision-support framework that wraps time-series forecasting pipelines in an explainability layer generating natural-language explanations of model outputs; their evaluation indicates that explanatory layers can improve perceived decision quality relative to raw model outputs. Olszak and Bartuś (2025) suggest that AI-enhanced business intelligence can increase decision confidence and forecast-adoption when predictions are accompanied by explanations. Herath et al. (2024), through action design research across three organisations, derive a design principle of direct relevance: AI decision-support systems must communicate uncertainty to be trusted by non-technical business users. The decision value of communicated uncertainty is itself well established: Goodwin et al. (2010) demonstrate experimentally that forecasts expressed as prediction intervals reduce newsvendor cost relative to point forecasts, with the benefit concentrated among high-uncertainty items.</w:t>
      </w:r>
    </w:p>
    <w:p>
      <w:pPr>
        <w:pStyle w:val="BodyText"/>
      </w:pPr>
      <w:r>
        <w:t xml:space="preserve">Taken together, this body of work frames the requirements for the proposed forecast-informed decision-support layer: forecasts gain value when connected to decisions; that connection should expose uncertainty; and the explanatory interface materially shapes decision quality. These findings motivate the design of a forecast-informed decision-support layer in which forecasts are accompanied by uncertainty information, explanatory context, and decision-oriented recommendations. How such a layer can be realised through a tool-using agent, and how it should be evaluated against a code-as-action LLM baseline, is the subject of Sections 2.4 to 2.7.</w:t>
      </w:r>
    </w:p>
    <w:p>
      <w:r>
        <w:pict>
          <v:rect style="width:0;height:1.5pt" o:hralign="center" o:hrstd="t" o:hr="t"/>
        </w:pict>
      </w:r>
    </w:p>
    <w:bookmarkEnd w:id="12"/>
    <w:bookmarkStart w:id="13" w:name="llm-agents-and-tool-mediated-reasoning"/>
    <w:p>
      <w:pPr>
        <w:pStyle w:val="Heading2"/>
      </w:pPr>
      <w:r>
        <w:t xml:space="preserve">2.4 LLM Agents and Tool-Mediated Reasoning</w:t>
      </w:r>
    </w:p>
    <w:p>
      <w:pPr>
        <w:pStyle w:val="FirstParagraph"/>
      </w:pPr>
      <w:r>
        <w:rPr>
          <w:i/>
          <w:iCs/>
        </w:rPr>
        <w:t xml:space="preserve">Maps to SRQ2</w:t>
      </w:r>
    </w:p>
    <w:p>
      <w:pPr>
        <w:pStyle w:val="BodyText"/>
      </w:pPr>
      <w:r>
        <w:t xml:space="preserve">The emergence of large language models as reasoning engines has shifted their role from generative text systems to action-taking agents that invoke external tools, decompose tasks, and revise plans in response to feedback. This distinction, between an LLM as a language model and an LLM as a tool-using agent, underpins the interface design at the centre of SRQ2.</w:t>
      </w:r>
    </w:p>
    <w:p>
      <w:pPr>
        <w:pStyle w:val="BodyText"/>
      </w:pPr>
      <w:r>
        <w:t xml:space="preserve">A foundational result is Toolformer (Schick et al., 2023), which showed that language models can learn to invoke external APIs, calculators, and search engines, and that a 6.7-billion-parameter Toolformer can outperform a far larger model on downstream reasoning tasks. The implication, central to this thesis, is that tool delegation can partially compensate for model scale by allowing an LLM to rely on specialised external capabilities, including a dedicated forecasting model rather than attempting to forecast itself. Ma et al. (2024) reinforce this with SciAgent, showing that equipping an LLM with domain-specific tools for computation and retrieval substantially improves precision-sensitive reasoning over a tool-free baseline; for this thesis, an LLM acting as a reasoning orchestrator, delegating numerical prediction to a dedicated model while retaining synthesis and communication, is more appropriate than asking the LLM to perform numerical prediction end-to-end. Paranjape et al. (2023), through ART, show that automatically decomposing a task into structured reasoning-and-tool-use steps can improve task performance and controllability relative to single-shot prompting, motivating a structured rather than unstructured tool-invocation sequence in the thesis’s decision-support layer.</w:t>
      </w:r>
    </w:p>
    <w:p>
      <w:pPr>
        <w:pStyle w:val="BodyText"/>
      </w:pPr>
      <w:r>
        <w:t xml:space="preserve">The format of the agent’s actions is itself a design dimension. Wang et al. (2024) report that executable code can offer advantages over JSON-formatted tool calls on some agentic benchmarks, enabling dynamic tool composition and self-debugging. The thesis’s own dedicated-model agent adopts the widely supported JSON-based function-calling interface for reliability and reproducibility; the code-as-action pattern characterised by Wang et al. (2024), in which a general-purpose LLM writes, executes, and self-corrects its own code, is adopted not as the thesis artefact but as the baseline against which dedicated-model integration is evaluated (SRQ4).</w:t>
      </w:r>
    </w:p>
    <w:p>
      <w:pPr>
        <w:pStyle w:val="BodyText"/>
      </w:pPr>
      <w:r>
        <w:t xml:space="preserve">A conceptual taxonomy helps to situate, and to bound, the present system. Sapkota et al. (2025) distinguish AI Agents, defined as modular, task-specific systems driven by a single LLM with tool use, from Agentic AI, characterised by multi-agent collaboration, persistent memory, and coordinated autonomy. Under this taxonomy the thesis artefact at its current stage is most accurately described as a bounded tool-using AI agent with human-in-the-loop checkpoints, rather than a full multi-agent Agentic AI system; a multi-agent decomposition is a design and production-target consideration, not a property of the thesis artefact at its current stage. The multi-agent coordination literature is nonetheless instructive as design context: Liu et al. (2023, DyLAN) show that dynamically activating specialist agents can outperform fixed pipelines, while Chen et al. (2024, AutoFlow) and Wu et al. (2025, ScoreFlow) show that structured, graph-based orchestration can be generated and optimised automatically and reflects best practice for multi-agent systems. These works inform how a single-agent prototype could later be decomposed into a coordinated multi-agent production system, but they are not part of the artefact at its current stage.</w:t>
      </w:r>
    </w:p>
    <w:p>
      <w:pPr>
        <w:pStyle w:val="BodyText"/>
      </w:pPr>
      <w:r>
        <w:t xml:space="preserve">In sum, the agent literature supplies the core mechanism on which the thesis relies, an LLM delegating prediction to an external model through a structured tool interface, while the multi-agent strand describes an extension beyond the current artefact and the code-as-action strand supplies the baseline comparator for the thesis’s evaluation. How forecasts are exposed through that interface, and how the resulting outputs are made reliable and evaluable, is developed in Section 2.5.</w:t>
      </w:r>
    </w:p>
    <w:p>
      <w:r>
        <w:pict>
          <v:rect style="width:0;height:1.5pt" o:hralign="center" o:hrstd="t" o:hr="t"/>
        </w:pict>
      </w:r>
    </w:p>
    <w:bookmarkEnd w:id="13"/>
    <w:bookmarkStart w:id="14" w:name="X3973dbf2a0a7e8498ea2f18276bb0e8806584b9"/>
    <w:p>
      <w:pPr>
        <w:pStyle w:val="Heading2"/>
      </w:pPr>
      <w:r>
        <w:t xml:space="preserve">2.5 Reliability, Traceability, Uncertainty, and Evaluation of Agentic Outputs</w:t>
      </w:r>
    </w:p>
    <w:p>
      <w:pPr>
        <w:pStyle w:val="FirstParagraph"/>
      </w:pPr>
      <w:r>
        <w:rPr>
          <w:i/>
          <w:iCs/>
        </w:rPr>
        <w:t xml:space="preserve">Maps to SRQ2 and SRQ4</w:t>
      </w:r>
    </w:p>
    <w:p>
      <w:pPr>
        <w:pStyle w:val="BodyText"/>
      </w:pPr>
      <w:r>
        <w:t xml:space="preserve">When a forecast is surfaced through an agentic layer that reasons over it in natural language, the reliability of that layer becomes a first-order concern: in decision-support, an agent’s output influences managerial decisions with operational and financial consequences. The literature characterises three reliability risks directly relevant to a forecast-informed agent, namely hallucination, input-noise sensitivity, and coordination failure, together with the traceability and evaluation mechanisms needed to manage them.</w:t>
      </w:r>
    </w:p>
    <w:p>
      <w:pPr>
        <w:pStyle w:val="BodyText"/>
      </w:pPr>
      <w:r>
        <w:t xml:space="preserve">Ji et al. (2024) establish a systematic taxonomy of LLM hallucination through ANAH, classifying factual errors into identifiable patterns including entity substitution, numerical imprecision, and unsupported causal attribution. Because a forecast-informed agent must convey numerical predictions faithfully, this taxonomy frames numerical hallucination as a documented, quantifiable risk and motivates a validation step in which agent outputs are checked against the source forecast values before delivery. Wang et al. (2026), through AgentNoiseBench, show that tool-using agents degrade systematically when tool inputs contain structured noise such as mislabelled features or formatting inconsistencies, establishing input-noise robustness as a measurable engineering challenge and motivating disciplined validation of the data passed to a forecasting tool.</w:t>
      </w:r>
    </w:p>
    <w:p>
      <w:pPr>
        <w:pStyle w:val="BodyText"/>
      </w:pPr>
      <w:r>
        <w:t xml:space="preserve">Reliability in production also depends on traceability. Sapra et al. (2025), in AgentCompass, highlight non-trivial step-level errors in unstructured agentic workflows and find that structured traceability mechanisms materially reduce debugging effort when failures occur. Dong et al. (2025) generalise this into a taxonomy of AgentOps observability, specifying the artifacts, namely execution traces, tool-call spans, prompt and guardrail registries, that must be captured for a foundation-model agent to be auditable, positioning such traceability as relevant to emerging compliance and auditability expectations. These works establish traceability as a design requirement for any production-oriented agentic decision-support layer; in the present thesis it is treated as a design objective for the tool interface (a recorded mapping from tool call and forecast value to recommendation), not as a fully implemented capability of the artefact at its current stage. Huang et al. (2024) contribute a complementary reliability mechanism, self-verification sampling, in which an agent evaluates candidate outputs before committing to a tool call. Although not implemented in the thesis prototype, this mechanism illustrates a possible future reliability enhancement.</w:t>
      </w:r>
    </w:p>
    <w:p>
      <w:pPr>
        <w:pStyle w:val="BodyText"/>
      </w:pPr>
      <w:r>
        <w:t xml:space="preserve">Communicating forecast uncertainty reliably ideally requires that stated intervals be calibrated. Kuleshov et al. (2018) show that post-hoc isotonic-regression calibration can align empirical interval coverage with stated coverage probabilities, and Levi et al. (2022) confirm isotonic regression as a consistently effective calibration method across datasets and model families, including gradient-boosted trees such as LightGBM and XGBoost. Calibration is therefore treated as a future requirement and design consideration rather than a demonstrated property of the evaluated system.</w:t>
      </w:r>
    </w:p>
    <w:p>
      <w:pPr>
        <w:pStyle w:val="BodyText"/>
      </w:pPr>
      <w:r>
        <w:t xml:space="preserve">Finally, evaluating whether an agentic layer improves decision-support outputs requires an evaluation methodology that is itself reliable. A growing literature examines the use of LLMs as evaluators. Gu et al. (2024) survey this design space, concluding that pairwise comparison tends to be more consistent than absolute scoring and that judge reliability depends on consistency, robustness, and alignment with human judgment. Ye et al. (2024) quantify systematic biases in LLM judges, including position and self-enhancement bias, and recommend using a separate model for evaluation together with explicit bias checks. Mehta (2025), through the CLEAR framework, proposes that enterprise agentic systems should be evaluated across multiple dimensions, namely cost, latency, efficacy, assurance, and reliability, rather than accuracy alone, arguing, and reporting preliminary evidence, that multidimensional evaluation may correlate more strongly with deployment readiness than accuracy-only evaluation. The consistency dimension is grounded in direct empirical evidence: Ouyang et al. (2025) show that LLM-generated code for an identical prompt varies substantially across repeated runs, with roughly half to three quarters of code-generation tasks yielding no two identical outputs, and Atıl et al. (2025) show that this non-determinism persists even at nominally deterministic API settings such as temperature zero, proposing agreement-rate metrics for quantifying it. The treatment of cost and latency as evaluation dimensions in their own right follows an established line of work: Schwartz et al. (2020) argue that computational cost should be reported as a first-class evaluation criterion alongside accuracy, and Chen et al. (2024) demonstrate that inference costs for comparable output quality differ by orders of magnitude across language models, making cost an operationally decisive property of LLM systems. Together, these works inform the proposed evaluation design (SRQ4): a comparison of dedicated-model agentic decision-support against a code-as-action LLM baseline, judged on correctness, consistency, and replicability as primary dimensions and on cost and latency as secondary dimensions, using a separate judge model with bias awareness and a human-rated subset. These same reliability and bias findings also bound the strength of the thesis’s own evaluation, which at present rests on a small pilot rather than a full-scale study.</w:t>
      </w:r>
    </w:p>
    <w:p>
      <w:pPr>
        <w:pStyle w:val="BodyText"/>
      </w:pPr>
      <w:r>
        <w:t xml:space="preserve">The reliability, traceability, and evaluation requirements identified here apply not in the abstract but in real deployment settings, where operational constraints further shape what is feasible, the subject of the next section.</w:t>
      </w:r>
    </w:p>
    <w:p>
      <w:r>
        <w:pict>
          <v:rect style="width:0;height:1.5pt" o:hralign="center" o:hrstd="t" o:hr="t"/>
        </w:pict>
      </w:r>
    </w:p>
    <w:bookmarkEnd w:id="14"/>
    <w:bookmarkStart w:id="15" w:name="X51c0b51731241bd2e8bca8c81129882b84e8ec1"/>
    <w:p>
      <w:pPr>
        <w:pStyle w:val="Heading2"/>
      </w:pPr>
      <w:r>
        <w:t xml:space="preserve">2.6 Production-Oriented Agentic Systems and Integration Readiness</w:t>
      </w:r>
    </w:p>
    <w:p>
      <w:pPr>
        <w:pStyle w:val="FirstParagraph"/>
      </w:pPr>
      <w:r>
        <w:rPr>
          <w:i/>
          <w:iCs/>
        </w:rPr>
        <w:t xml:space="preserve">Maps to SRQ3</w:t>
      </w:r>
    </w:p>
    <w:p>
      <w:pPr>
        <w:pStyle w:val="BodyText"/>
      </w:pPr>
      <w:r>
        <w:t xml:space="preserve">The reliability and traceability requirements of the previous section are sharpened in production-oriented settings, where an agentic decision-support system must operate within real operational and economic constraints. A small but growing literature examines agentic systems designed for, or deployed in, production rather than benchmark conditions, and it frames the integration-readiness question central to SRQ3: what architectural and operational capabilities a production-oriented agentic system must possess to incorporate forecast-informed decision-support.</w:t>
      </w:r>
    </w:p>
    <w:p>
      <w:pPr>
        <w:pStyle w:val="BodyText"/>
      </w:pPr>
      <w:r>
        <w:t xml:space="preserve">González-Potes et al. (2026) provide the closest published exemplar, a hybrid deterministic/LLM multi-agent architecture for real-time industrial process supervision that achieves high specification-compliance rates and low median numerical error, suggesting that LLM-based decision support can approach production-relevant reliability requirements when the architecture carefully separates deterministic and generative components. Their system, however, is designed for continuous real-time supervision on dedicated industrial infrastructure; the authors explicitly note that it does not address predictive forecasting over historical tabular data or the resource constraints of small-to-medium enterprise deployments. It thus establishes that production-grade hybrid LLM-plus-model architectures are feasible, while leaving the forecast-extension and resource-constrained settings open.</w:t>
      </w:r>
    </w:p>
    <w:p>
      <w:pPr>
        <w:pStyle w:val="BodyText"/>
      </w:pPr>
      <w:r>
        <w:t xml:space="preserve">Operational readiness has been characterised more generally. Dong et al. (2025) specify the artifacts a production agent must expose for observability and governance, namely registries, traces, guardrails, and monitoring, providing a vocabulary of operational capabilities that an integrating system must support. Mehta (2025), through the CLEAR framework, characterises the constraints under which such systems are judged, namely cost, latency, efficacy, assurance, and reliability, and reports preliminary evidence that single-run success can overstate reliability relative to multi-run consistency, underscoring that operational dependability, not peak accuracy, governs deployment readiness. Zheng et al. (2025) document the integration of large language models into enterprise supply-chain workflows, illustrating both the appetite for and the practical friction of embedding LLM capabilities into established operational systems.</w:t>
      </w:r>
    </w:p>
    <w:p>
      <w:pPr>
        <w:pStyle w:val="BodyText"/>
      </w:pPr>
      <w:r>
        <w:t xml:space="preserve">Synthesised for SRQ3, this literature points to a set of capabilities that production-oriented agentic systems appear to require in order to integrate forecast-informed decision-support: a structured interface for invoking external predictive models; observability and traceability of tool calls and their outputs; explicit handling of reliability and uncertainty; and operation within bounded cost, latency, and memory budgets. The present thesis treats the integration of a forecasting substrate into such a system as a design-and-readiness question, assessed against these capabilities using a real production-oriented empirical case, rather than as a completed production deployment.</w:t>
      </w:r>
    </w:p>
    <w:p>
      <w:r>
        <w:pict>
          <v:rect style="width:0;height:1.5pt" o:hralign="center" o:hrstd="t" o:hr="t"/>
        </w:pict>
      </w:r>
    </w:p>
    <w:bookmarkEnd w:id="15"/>
    <w:bookmarkStart w:id="16" w:name="X1ad58547679ce2c27d0c3ce0df3e161cbcf2d12"/>
    <w:p>
      <w:pPr>
        <w:pStyle w:val="Heading2"/>
      </w:pPr>
      <w:r>
        <w:t xml:space="preserve">2.7 Research Gap: Forecast-Informed Extension of Non-Predictive Agentic Systems</w:t>
      </w:r>
    </w:p>
    <w:p>
      <w:pPr>
        <w:pStyle w:val="FirstParagraph"/>
      </w:pPr>
      <w:r>
        <w:t xml:space="preserve">The sections above establish the design space in which this thesis operates and reveal an under-addressed intersection rather than a single missing result.</w:t>
      </w:r>
    </w:p>
    <w:p>
      <w:pPr>
        <w:pStyle w:val="BodyText"/>
      </w:pPr>
      <w:r>
        <w:t xml:space="preserve">First, a peer-reviewed literature establishes that predictive models create value chiefly through their connection to downstream decisions, but couples prediction and decision</w:t>
      </w:r>
      <w:r>
        <w:t xml:space="preserve"> </w:t>
      </w:r>
      <w:r>
        <w:rPr>
          <w:i/>
          <w:iCs/>
        </w:rPr>
        <w:t xml:space="preserve">tightly</w:t>
      </w:r>
      <w:r>
        <w:t xml:space="preserve">, through differentiable optimization against a formally specified objective (Elmachtoub &amp; Grigas, 2022; Mandi et al., 2024). It does not address open-ended managerial decision-support mediated by an agent, and it does not concern large language model agents. Second, the LLM-agent and tool-use literature shows that agents can invoke external tools and that tool delegation can substitute for raw model scale (Schick et al., 2023), and an emerging strand begins to expose pre-trained statistical models as callable agent tools (Chen &amp; Bibi, 2026); the latter, however, exists only as small, non-peer-reviewed proofs of concept and does not address forecasting, reliability, or production constraints. Third, the reliability and evaluation literature establishes that agentic outputs carry measurable risks, namely hallucination, input-noise sensitivity, and coordination failure, and that their evaluation requires bias-aware, multidimensional methods (Ji et al., 2024; Sapra et al., 2025; Gu et al., 2024; Ye et al., 2024; Mehta, 2025). Fourth, production-oriented agentic systems demonstrate feasibility but are studied for real-time industrial supervision rather than forecast extension under small-to-medium-enterprise resource constraints (González-Potes et al., 2026; Dong et al., 2025).</w:t>
      </w:r>
    </w:p>
    <w:p>
      <w:pPr>
        <w:pStyle w:val="BodyText"/>
      </w:pPr>
      <w:r>
        <w:t xml:space="preserve">The intersection of these four bodies of work is under-addressed: how a production-oriented agentic decision-support system that lacks native predictive capability can be extended with lightweight forecasting models, through a loose, agent-mediated, reliable and traceable tool interface, and whether such dedicated-model integration improves decision-support outputs relative to a code-as-action LLM baseline that writes its own forecasting code. The forecast-to-decision literature supplies the principle but assumes tight coupling; the agent literature supplies tool use, while only emerging work begins to connect such tools to statistical prediction; the reliability and production literatures supply requirements but not the integration. The reviewed literature does not yet provide an integrated account of this combination in the specific setting of forecast-informed, production-oriented agentic decision-support.</w:t>
      </w:r>
    </w:p>
    <w:p>
      <w:pPr>
        <w:pStyle w:val="BodyText"/>
      </w:pPr>
      <w:r>
        <w:t xml:space="preserve">This thesis addresses that intersection through four contributions, stated at the level of the system class rather than any single product, and distinguishing what is designed from what is planned for evaluation or left to future work:</w:t>
      </w:r>
    </w:p>
    <w:p>
      <w:pPr>
        <w:pStyle w:val="Compact"/>
        <w:numPr>
          <w:ilvl w:val="0"/>
          <w:numId w:val="1001"/>
        </w:numPr>
      </w:pPr>
      <w:r>
        <w:rPr>
          <w:b/>
          <w:bCs/>
        </w:rPr>
        <w:t xml:space="preserve">Predictive substrate (SRQ1): designed; benchmark to be built.</w:t>
      </w:r>
      <w:r>
        <w:t xml:space="preserve"> </w:t>
      </w:r>
      <w:r>
        <w:t xml:space="preserve">A memory-profiled benchmark of lightweight forecasting models across multiple FMCG beverage categories, characterising the accuracy–efficiency–specialization trade-off under a constrained compute budget.</w:t>
      </w:r>
    </w:p>
    <w:p>
      <w:pPr>
        <w:pStyle w:val="Compact"/>
        <w:numPr>
          <w:ilvl w:val="0"/>
          <w:numId w:val="1001"/>
        </w:numPr>
      </w:pPr>
      <w:r>
        <w:rPr>
          <w:b/>
          <w:bCs/>
        </w:rPr>
        <w:t xml:space="preserve">Structured forecast-tool interface (SRQ2): designed.</w:t>
      </w:r>
      <w:r>
        <w:t xml:space="preserve"> </w:t>
      </w:r>
      <w:r>
        <w:t xml:space="preserve">A tool/action interface exposing forecasts and uncertainty to a tool-using agent, with traceability treated as an explicit design objective.</w:t>
      </w:r>
    </w:p>
    <w:p>
      <w:pPr>
        <w:pStyle w:val="Compact"/>
        <w:numPr>
          <w:ilvl w:val="0"/>
          <w:numId w:val="1001"/>
        </w:numPr>
      </w:pPr>
      <w:r>
        <w:rPr>
          <w:b/>
          <w:bCs/>
        </w:rPr>
        <w:t xml:space="preserve">Integration readiness (SRQ3): designed; assessment planned.</w:t>
      </w:r>
      <w:r>
        <w:t xml:space="preserve"> </w:t>
      </w:r>
      <w:r>
        <w:t xml:space="preserve">A specification of the architectural and operational capabilities a production-oriented agentic system requires to integrate forecast-informed decision-support, to be assessed using a real production-oriented empirical case rather than a completed deployment.</w:t>
      </w:r>
    </w:p>
    <w:p>
      <w:pPr>
        <w:pStyle w:val="Compact"/>
        <w:numPr>
          <w:ilvl w:val="0"/>
          <w:numId w:val="1001"/>
        </w:numPr>
      </w:pPr>
      <w:r>
        <w:rPr>
          <w:b/>
          <w:bCs/>
        </w:rPr>
        <w:t xml:space="preserve">Evaluation (SRQ4): designed; evaluation pending.</w:t>
      </w:r>
      <w:r>
        <w:t xml:space="preserve"> </w:t>
      </w:r>
      <w:r>
        <w:t xml:space="preserve">A comparison of dedicated-model agentic decision-support against a code-as-action LLM baseline, on correctness, consistency, and replicability (primary) and cost and latency (secondary), planned at the scale of a pilot in the first instance rather than a full study.</w:t>
      </w:r>
    </w:p>
    <w:p>
      <w:pPr>
        <w:pStyle w:val="FirstParagraph"/>
      </w:pPr>
      <w:r>
        <w:t xml:space="preserve">The methodological contribution is framed, in the design science tradition (Hevner et al., 2004; Peffers et al., 2007), as transferable design knowledge about extending non-predictive agentic decision-support systems with a forecasting substrate, not as a claim of a fully deployed or fully evaluated production system. Empirical calibration of uncertainty and full-scale evaluation are identified as directions for further work rather than completed results.</w:t>
      </w:r>
    </w:p>
    <w:p>
      <w:r>
        <w:pict>
          <v:rect style="width:0;height:1.5pt" o:hralign="center" o:hrstd="t" o:hr="t"/>
        </w:pict>
      </w:r>
    </w:p>
    <w:bookmarkEnd w:id="16"/>
    <w:bookmarkStart w:id="17" w:name="design-science-research"/>
    <w:p>
      <w:pPr>
        <w:pStyle w:val="Heading2"/>
      </w:pPr>
      <w:r>
        <w:t xml:space="preserve">2.8 Design Science Research</w:t>
      </w:r>
    </w:p>
    <w:p>
      <w:pPr>
        <w:pStyle w:val="FirstParagraph"/>
      </w:pPr>
      <w:r>
        <w:rPr>
          <w:i/>
          <w:iCs/>
        </w:rPr>
        <w:t xml:space="preserve">Maps to all research questions</w:t>
      </w:r>
    </w:p>
    <w:p>
      <w:pPr>
        <w:pStyle w:val="BodyText"/>
      </w:pPr>
      <w:r>
        <w:t xml:space="preserve">The questions this thesis addresses are constructive: they concern how a system can be designed and what capabilities its design requires, rather than the testing of a pre-existing theory. Such questions are the province of Design Science Research (DSR), the information-systems paradigm concerned with building and evaluating novel artefacts and with generating transferable design knowledge from them. Hevner et al. (2004) establish the foundational DSR framework, distinguishing the construction of a working artefact from the behavioural study of existing systems, and articulating guidelines that require an artefact to be both demonstrably useful in a relevant problem context and a source of generalisable knowledge beyond its specific instantiation. Peffers et al. (2007) complement this with a process model, namely problem identification, objective definition, design and development, demonstration, evaluation, and communication, that structures a DSR project as an ordered, justifiable sequence.</w:t>
      </w:r>
    </w:p>
    <w:p>
      <w:pPr>
        <w:pStyle w:val="BodyText"/>
      </w:pPr>
      <w:r>
        <w:t xml:space="preserve">DSR is well matched to the present work for two reasons. First, the central contribution is an artefact: a design artefact for extending non-predictive agentic decision-support systems with forecast-informed capabilities, together with the interface and integration-readiness design that the extension requires. Second, the intended contribution is not limited to that artefact but extends to design knowledge, a set of transferable principles about extending production-oriented agentic systems with a forecasting substrate, which is precisely the dual artefact-and-knowledge output that DSR is designed to produce. Framing the work as DSR also disciplines its evaluation: the artefact must be assessed against defined criteria in a relevant context, which here means evaluating the forecasting substrate, the tool interface, and the resulting decision-support outputs against the criteria developed in the preceding sections, informed by a real production-oriented empirical case.</w:t>
      </w:r>
    </w:p>
    <w:p>
      <w:pPr>
        <w:pStyle w:val="BodyText"/>
      </w:pPr>
      <w:r>
        <w:t xml:space="preserve">The specific application of the DSR process to this thesis, namely the artefact definition, the evaluation design, and the validation against the empirical case, is detailed in the methodology (Chapter 3); this section establishes only the methodological paradigm and its fit to the research questions.</w:t>
      </w:r>
    </w:p>
    <w:p>
      <w:r>
        <w:pict>
          <v:rect style="width:0;height:1.5pt" o:hralign="center" o:hrstd="t" o:hr="t"/>
        </w:pict>
      </w:r>
    </w:p>
    <w:bookmarkEnd w:id="17"/>
    <w:bookmarkStart w:id="18" w:name="X7c7e5c674ff56928800df9b4a267202004855d9"/>
    <w:p>
      <w:pPr>
        <w:pStyle w:val="Heading2"/>
      </w:pPr>
      <w:r>
        <w:t xml:space="preserve">2.9 Chapter Summary and Transition to Methodology</w:t>
      </w:r>
    </w:p>
    <w:p>
      <w:pPr>
        <w:pStyle w:val="FirstParagraph"/>
      </w:pPr>
      <w:r>
        <w:t xml:space="preserve">The literature reviewed in this chapter establishes the components and the gap that motivate the thesis. The forecasting literature (Sections 2.1–2.2) supports a benchmark of lightweight, category-specialised models evaluated on accuracy, efficiency, and stability under a constrained memory budget. The decision-support literature (Section 2.3) establishes, on peer-reviewed evidence, that predictions create value when connected to downstream decisions, while showing that this connection has been studied chiefly as tight, optimization-level coupling. The agent, reliability, and production literatures (Sections 2.4–2.6) supply the mechanism of tool-mediated reasoning, the reliability, traceability, and evaluation requirements that govern agentic outputs, and the operational capabilities a production-oriented system must possess to integrate them. Section 2.7 identifies the under-addressed intersection, a loose, agent-mediated, reliable and traceable extension of a non-predictive production-oriented agentic system with a forecasting substrate, and Section 2.8 frames the response as Design Science Research.</w:t>
      </w:r>
    </w:p>
    <w:p>
      <w:pPr>
        <w:pStyle w:val="BodyText"/>
      </w:pPr>
      <w:r>
        <w:t xml:space="preserve">The next chapter operationalises this paradigm. It defines the artefact, the multi-category forecasting benchmark, the structured tool interface, the integration-readiness assessment, and the evaluation design that compares dedicated-model agentic decision-support against a code-as-action LLM baseline, together with the limitations that bound the resulting claims.</w:t>
      </w:r>
    </w:p>
    <w:p>
      <w:r>
        <w:pict>
          <v:rect style="width:0;height:1.5pt" o:hralign="center" o:hrstd="t" o:hr="t"/>
        </w:pict>
      </w:r>
    </w:p>
    <w:bookmarkEnd w:id="18"/>
    <w:bookmarkStart w:id="19" w:name="references-cited-in-this-chapter"/>
    <w:p>
      <w:pPr>
        <w:pStyle w:val="Heading2"/>
      </w:pPr>
      <w:r>
        <w:t xml:space="preserve">References cited in this chapter</w:t>
      </w:r>
    </w:p>
    <w:p>
      <w:pPr>
        <w:pStyle w:val="Compact"/>
        <w:numPr>
          <w:ilvl w:val="0"/>
          <w:numId w:val="1002"/>
        </w:numPr>
      </w:pPr>
      <w:r>
        <w:t xml:space="preserve">Ahrens, A., Hansen, C. B., Schaffer, M. E., &amp; Wiemann, T. (2024). Model averaging and double machine learning.</w:t>
      </w:r>
      <w:r>
        <w:t xml:space="preserve"> </w:t>
      </w:r>
      <w:r>
        <w:rPr>
          <w:i/>
          <w:iCs/>
        </w:rPr>
        <w:t xml:space="preserve">Journal of Applied Econometrics</w:t>
      </w:r>
      <w:r>
        <w:t xml:space="preserve">. https://doi.org/10.48550/arXiv.2401.01645</w:t>
      </w:r>
    </w:p>
    <w:p>
      <w:pPr>
        <w:pStyle w:val="Compact"/>
        <w:numPr>
          <w:ilvl w:val="0"/>
          <w:numId w:val="1002"/>
        </w:numPr>
      </w:pPr>
      <w:r>
        <w:t xml:space="preserve">Ceran, B., Özkan, E., Eskiocak, D. İ., Mert, B., &amp; Yüceoğlu, B. (2024). Machine learning-based demand forecasting for an FMCG retailer. In</w:t>
      </w:r>
      <w:r>
        <w:t xml:space="preserve"> </w:t>
      </w:r>
      <w:r>
        <w:rPr>
          <w:i/>
          <w:iCs/>
        </w:rPr>
        <w:t xml:space="preserve">Intelligent and Fuzzy Systems: Proceedings of INFUS 2024</w:t>
      </w:r>
      <w:r>
        <w:t xml:space="preserve"> </w:t>
      </w:r>
      <w:r>
        <w:t xml:space="preserve">(LNNS, Vol. 1090). Springer. https://doi.org/10.1007/978-3-031-67192-0_11</w:t>
      </w:r>
    </w:p>
    <w:p>
      <w:pPr>
        <w:pStyle w:val="Compact"/>
        <w:numPr>
          <w:ilvl w:val="0"/>
          <w:numId w:val="1002"/>
        </w:numPr>
      </w:pPr>
      <w:r>
        <w:t xml:space="preserve">Chen, E., &amp; Bibi, Z. (2026). Machine learning as a tool (MLAT): A framework for integrating statistical ML models as callable tools within LLM agent workflows.</w:t>
      </w:r>
      <w:r>
        <w:t xml:space="preserve"> </w:t>
      </w:r>
      <w:r>
        <w:rPr>
          <w:i/>
          <w:iCs/>
        </w:rPr>
        <w:t xml:space="preserve">arXiv preprint arXiv:2602.14295</w:t>
      </w:r>
      <w:r>
        <w:t xml:space="preserve">. [PREPRINT, not peer-reviewed]</w:t>
      </w:r>
    </w:p>
    <w:p>
      <w:pPr>
        <w:pStyle w:val="Compact"/>
        <w:numPr>
          <w:ilvl w:val="0"/>
          <w:numId w:val="1002"/>
        </w:numPr>
      </w:pPr>
      <w:r>
        <w:t xml:space="preserve">Chen, Z., et al. (2024). AutoFlow: Automated workflow generation for large language model agents.</w:t>
      </w:r>
      <w:r>
        <w:t xml:space="preserve"> </w:t>
      </w:r>
      <w:r>
        <w:rPr>
          <w:i/>
          <w:iCs/>
        </w:rPr>
        <w:t xml:space="preserve">arXiv preprint arXiv:2407.12821</w:t>
      </w:r>
      <w:r>
        <w:t xml:space="preserve">. [PREPRINT]</w:t>
      </w:r>
    </w:p>
    <w:p>
      <w:pPr>
        <w:pStyle w:val="Compact"/>
        <w:numPr>
          <w:ilvl w:val="0"/>
          <w:numId w:val="1002"/>
        </w:numPr>
      </w:pPr>
      <w:r>
        <w:t xml:space="preserve">Dong, L., Lu, Q., &amp; Zhu, L. (2025). A taxonomy of AgentOps for enabling observability of foundation model based agents.</w:t>
      </w:r>
      <w:r>
        <w:t xml:space="preserve"> </w:t>
      </w:r>
      <w:r>
        <w:rPr>
          <w:i/>
          <w:iCs/>
        </w:rPr>
        <w:t xml:space="preserve">arXiv preprint arXiv:2411.05285</w:t>
      </w:r>
      <w:r>
        <w:t xml:space="preserve">. [PREPRINT]</w:t>
      </w:r>
    </w:p>
    <w:p>
      <w:pPr>
        <w:pStyle w:val="Compact"/>
        <w:numPr>
          <w:ilvl w:val="0"/>
          <w:numId w:val="1002"/>
        </w:numPr>
      </w:pPr>
      <w:r>
        <w:t xml:space="preserve">Elmachtoub, A. N., &amp; Grigas, P. (2022). Smart</w:t>
      </w:r>
      <w:r>
        <w:t xml:space="preserve"> </w:t>
      </w:r>
      <w:r>
        <w:t xml:space="preserve">“predict, then optimize”</w:t>
      </w:r>
      <w:r>
        <w:t xml:space="preserve">.</w:t>
      </w:r>
      <w:r>
        <w:t xml:space="preserve"> </w:t>
      </w:r>
      <w:r>
        <w:rPr>
          <w:i/>
          <w:iCs/>
        </w:rPr>
        <w:t xml:space="preserve">Management Science</w:t>
      </w:r>
      <w:r>
        <w:t xml:space="preserve">,</w:t>
      </w:r>
      <w:r>
        <w:t xml:space="preserve"> </w:t>
      </w:r>
      <w:r>
        <w:rPr>
          <w:i/>
          <w:iCs/>
        </w:rPr>
        <w:t xml:space="preserve">68</w:t>
      </w:r>
      <w:r>
        <w:t xml:space="preserve">(1), 9–26. https://doi.org/10.1287/mnsc.2020.3922</w:t>
      </w:r>
    </w:p>
    <w:p>
      <w:pPr>
        <w:pStyle w:val="Compact"/>
        <w:numPr>
          <w:ilvl w:val="0"/>
          <w:numId w:val="1002"/>
        </w:numPr>
      </w:pPr>
      <w:r>
        <w:t xml:space="preserve">González-Potes, A., Mata-Rivera, M. F., Espinosa-Oviedo, J. A., Castellanos-Velasco, E., Alvarado-Nava, O., &amp; Rodríguez-Reséndiz, J. (2026). Hybrid AI and LLM-enabled agent-based real-time decision support architecture for industrial batch processes.</w:t>
      </w:r>
      <w:r>
        <w:t xml:space="preserve"> </w:t>
      </w:r>
      <w:r>
        <w:rPr>
          <w:i/>
          <w:iCs/>
        </w:rPr>
        <w:t xml:space="preserve">AI</w:t>
      </w:r>
      <w:r>
        <w:t xml:space="preserve">,</w:t>
      </w:r>
      <w:r>
        <w:t xml:space="preserve"> </w:t>
      </w:r>
      <w:r>
        <w:rPr>
          <w:i/>
          <w:iCs/>
        </w:rPr>
        <w:t xml:space="preserve">7</w:t>
      </w:r>
      <w:r>
        <w:t xml:space="preserve">(2), 51.</w:t>
      </w:r>
    </w:p>
    <w:p>
      <w:pPr>
        <w:pStyle w:val="Compact"/>
        <w:numPr>
          <w:ilvl w:val="0"/>
          <w:numId w:val="1002"/>
        </w:numPr>
      </w:pPr>
      <w:r>
        <w:t xml:space="preserve">Goodwin, P., Önkal, D., &amp; Thomson, M. (2010). Do forecasts expressed as prediction intervals improve production planning decisions?</w:t>
      </w:r>
      <w:r>
        <w:t xml:space="preserve"> </w:t>
      </w:r>
      <w:r>
        <w:rPr>
          <w:i/>
          <w:iCs/>
        </w:rPr>
        <w:t xml:space="preserve">European Journal of Operational Research</w:t>
      </w:r>
      <w:r>
        <w:t xml:space="preserve">,</w:t>
      </w:r>
      <w:r>
        <w:t xml:space="preserve"> </w:t>
      </w:r>
      <w:r>
        <w:rPr>
          <w:i/>
          <w:iCs/>
        </w:rPr>
        <w:t xml:space="preserve">205</w:t>
      </w:r>
      <w:r>
        <w:t xml:space="preserve">(1), 195–201. https://doi.org/10.1016/j.ejor.2009.12.020</w:t>
      </w:r>
    </w:p>
    <w:p>
      <w:pPr>
        <w:pStyle w:val="Compact"/>
        <w:numPr>
          <w:ilvl w:val="0"/>
          <w:numId w:val="1002"/>
        </w:numPr>
      </w:pPr>
      <w:r>
        <w:t xml:space="preserve">Gu, J., Jiang, X., Shi, Z., Tan, H., Zhai, X., Xu, C., Li, W., Shen, Y., Ma, S., Liu, H., Wang, S., Zhang, K., Wang, Y., Gao, W., Ni, L., &amp; Guo, J. (2024). A survey on LLM-as-a-judge.</w:t>
      </w:r>
      <w:r>
        <w:t xml:space="preserve"> </w:t>
      </w:r>
      <w:r>
        <w:rPr>
          <w:i/>
          <w:iCs/>
        </w:rPr>
        <w:t xml:space="preserve">arXiv preprint arXiv:2411.15594</w:t>
      </w:r>
      <w:r>
        <w:t xml:space="preserve">. [PREPRINT]</w:t>
      </w:r>
    </w:p>
    <w:p>
      <w:pPr>
        <w:pStyle w:val="Compact"/>
        <w:numPr>
          <w:ilvl w:val="0"/>
          <w:numId w:val="1002"/>
        </w:numPr>
      </w:pPr>
      <w:r>
        <w:t xml:space="preserve">Herath, S., Shrestha, Y. R., &amp; von Krogh, G. (2024). Design principles for artificial intelligence-augmented decision making: An action design research study.</w:t>
      </w:r>
      <w:r>
        <w:t xml:space="preserve"> </w:t>
      </w:r>
      <w:r>
        <w:rPr>
          <w:i/>
          <w:iCs/>
        </w:rPr>
        <w:t xml:space="preserve">European Journal of Information Systems</w:t>
      </w:r>
      <w:r>
        <w:t xml:space="preserve">,</w:t>
      </w:r>
      <w:r>
        <w:t xml:space="preserve"> </w:t>
      </w:r>
      <w:r>
        <w:rPr>
          <w:i/>
          <w:iCs/>
        </w:rPr>
        <w:t xml:space="preserve">34</w:t>
      </w:r>
      <w:r>
        <w:t xml:space="preserve">(2), 207–229. https://doi.org/10.1080/0960085X.2024.2330402</w:t>
      </w:r>
    </w:p>
    <w:p>
      <w:pPr>
        <w:pStyle w:val="Compact"/>
        <w:numPr>
          <w:ilvl w:val="0"/>
          <w:numId w:val="1002"/>
        </w:numPr>
      </w:pPr>
      <w:r>
        <w:t xml:space="preserve">Hevner, A. R., March, S. T., Park, J., &amp; Ram, S. (2004). Design science in information systems research.</w:t>
      </w:r>
      <w:r>
        <w:t xml:space="preserve"> </w:t>
      </w:r>
      <w:r>
        <w:rPr>
          <w:i/>
          <w:iCs/>
        </w:rPr>
        <w:t xml:space="preserve">MIS Quarterly</w:t>
      </w:r>
      <w:r>
        <w:t xml:space="preserve">,</w:t>
      </w:r>
      <w:r>
        <w:t xml:space="preserve"> </w:t>
      </w:r>
      <w:r>
        <w:rPr>
          <w:i/>
          <w:iCs/>
        </w:rPr>
        <w:t xml:space="preserve">28</w:t>
      </w:r>
      <w:r>
        <w:t xml:space="preserve">(1), 75–105. https://doi.org/10.2307/25148625</w:t>
      </w:r>
    </w:p>
    <w:p>
      <w:pPr>
        <w:pStyle w:val="Compact"/>
        <w:numPr>
          <w:ilvl w:val="0"/>
          <w:numId w:val="1002"/>
        </w:numPr>
      </w:pPr>
      <w:r>
        <w:t xml:space="preserve">Huang, J., et al. (2024). Sample, predict, then proceed: Self-verification sampling for tool use of LLMs.</w:t>
      </w:r>
      <w:r>
        <w:t xml:space="preserve"> </w:t>
      </w:r>
      <w:r>
        <w:rPr>
          <w:i/>
          <w:iCs/>
        </w:rPr>
        <w:t xml:space="preserve">OpenReview</w:t>
      </w:r>
      <w:r>
        <w:t xml:space="preserve">. [PREPRINT]</w:t>
      </w:r>
    </w:p>
    <w:p>
      <w:pPr>
        <w:pStyle w:val="Compact"/>
        <w:numPr>
          <w:ilvl w:val="0"/>
          <w:numId w:val="1002"/>
        </w:numPr>
      </w:pPr>
      <w:r>
        <w:t xml:space="preserve">Ji, Z., Gu, Y., Zhang, W., Lyu, C., Lin, D., &amp; Chen, K. (2024). ANAH: Analytical annotation of hallucinations in large language models. In</w:t>
      </w:r>
      <w:r>
        <w:t xml:space="preserve"> </w:t>
      </w:r>
      <w:r>
        <w:rPr>
          <w:i/>
          <w:iCs/>
        </w:rPr>
        <w:t xml:space="preserve">Proceedings of ACL 2024</w:t>
      </w:r>
      <w:r>
        <w:t xml:space="preserve"> </w:t>
      </w:r>
      <w:r>
        <w:t xml:space="preserve">(pp. 8135–8158).</w:t>
      </w:r>
    </w:p>
    <w:p>
      <w:pPr>
        <w:pStyle w:val="Compact"/>
        <w:numPr>
          <w:ilvl w:val="0"/>
          <w:numId w:val="1002"/>
        </w:numPr>
      </w:pPr>
      <w:r>
        <w:t xml:space="preserve">Klee, S., &amp; Xia, Y. (2025). Measuring time series forecast stability for demand planning.</w:t>
      </w:r>
      <w:r>
        <w:t xml:space="preserve"> </w:t>
      </w:r>
      <w:r>
        <w:rPr>
          <w:i/>
          <w:iCs/>
        </w:rPr>
        <w:t xml:space="preserve">KDD ’25 Workshop on AI for Supply Chain</w:t>
      </w:r>
      <w:r>
        <w:t xml:space="preserve">. [PREPRINT]</w:t>
      </w:r>
    </w:p>
    <w:p>
      <w:pPr>
        <w:pStyle w:val="Compact"/>
        <w:numPr>
          <w:ilvl w:val="0"/>
          <w:numId w:val="1002"/>
        </w:numPr>
      </w:pPr>
      <w:r>
        <w:t xml:space="preserve">Kuleshov, V., Fenner, N., &amp; Ermon, S. (2018). Accurate uncertainties for deep learning using calibrated regression. In</w:t>
      </w:r>
      <w:r>
        <w:t xml:space="preserve"> </w:t>
      </w:r>
      <w:r>
        <w:rPr>
          <w:i/>
          <w:iCs/>
        </w:rPr>
        <w:t xml:space="preserve">Proceedings of ICML 2018</w:t>
      </w:r>
      <w:r>
        <w:t xml:space="preserve"> </w:t>
      </w:r>
      <w:r>
        <w:t xml:space="preserve">(PMLR, Vol. 80).</w:t>
      </w:r>
    </w:p>
    <w:p>
      <w:pPr>
        <w:pStyle w:val="Compact"/>
        <w:numPr>
          <w:ilvl w:val="0"/>
          <w:numId w:val="1002"/>
        </w:numPr>
      </w:pPr>
      <w:r>
        <w:t xml:space="preserve">Levi, D., Gispan, L., Giladi, N., &amp; Fetaya, E. (2022). Evaluating and calibrating uncertainty prediction in regression tasks.</w:t>
      </w:r>
      <w:r>
        <w:t xml:space="preserve"> </w:t>
      </w:r>
      <w:r>
        <w:rPr>
          <w:i/>
          <w:iCs/>
        </w:rPr>
        <w:t xml:space="preserve">Sensors</w:t>
      </w:r>
      <w:r>
        <w:t xml:space="preserve">,</w:t>
      </w:r>
      <w:r>
        <w:t xml:space="preserve"> </w:t>
      </w:r>
      <w:r>
        <w:rPr>
          <w:i/>
          <w:iCs/>
        </w:rPr>
        <w:t xml:space="preserve">22</w:t>
      </w:r>
      <w:r>
        <w:t xml:space="preserve">(15), Article 5540. https://doi.org/10.3390/s22155540</w:t>
      </w:r>
    </w:p>
    <w:p>
      <w:pPr>
        <w:pStyle w:val="Compact"/>
        <w:numPr>
          <w:ilvl w:val="0"/>
          <w:numId w:val="1002"/>
        </w:numPr>
      </w:pPr>
      <w:r>
        <w:t xml:space="preserve">Liu, S., Guo, B., Yu, Z., et al. (2025). On accelerating edge AI: Optimizing resource-constrained environments.</w:t>
      </w:r>
      <w:r>
        <w:t xml:space="preserve"> </w:t>
      </w:r>
      <w:r>
        <w:rPr>
          <w:i/>
          <w:iCs/>
        </w:rPr>
        <w:t xml:space="preserve">arXiv preprint arXiv:2501.15014</w:t>
      </w:r>
      <w:r>
        <w:t xml:space="preserve">. [PREPRINT]</w:t>
      </w:r>
    </w:p>
    <w:p>
      <w:pPr>
        <w:pStyle w:val="Compact"/>
        <w:numPr>
          <w:ilvl w:val="0"/>
          <w:numId w:val="1002"/>
        </w:numPr>
      </w:pPr>
      <w:r>
        <w:t xml:space="preserve">Liu, Z., et al. (2023). A dynamic LLM-powered agent network for task-oriented agent collaboration.</w:t>
      </w:r>
      <w:r>
        <w:t xml:space="preserve"> </w:t>
      </w:r>
      <w:r>
        <w:rPr>
          <w:i/>
          <w:iCs/>
        </w:rPr>
        <w:t xml:space="preserve">arXiv preprint arXiv:2310.02170</w:t>
      </w:r>
      <w:r>
        <w:t xml:space="preserve">. [PREPRINT]</w:t>
      </w:r>
    </w:p>
    <w:p>
      <w:pPr>
        <w:pStyle w:val="Compact"/>
        <w:numPr>
          <w:ilvl w:val="0"/>
          <w:numId w:val="1002"/>
        </w:numPr>
      </w:pPr>
      <w:r>
        <w:t xml:space="preserve">Ma, B. J., Jackson, I., Huang, M., Villegas, S., &amp; Macias-Aguayo, J. (2025). A data-driven and context-aware approach for demand forecasting in the beverage industry.</w:t>
      </w:r>
      <w:r>
        <w:t xml:space="preserve"> </w:t>
      </w:r>
      <w:r>
        <w:rPr>
          <w:i/>
          <w:iCs/>
        </w:rPr>
        <w:t xml:space="preserve">International Journal of Logistics Research and Applications</w:t>
      </w:r>
      <w:r>
        <w:t xml:space="preserve">. https://doi.org/10.1080/13675567.2025.2451806</w:t>
      </w:r>
    </w:p>
    <w:p>
      <w:pPr>
        <w:pStyle w:val="Compact"/>
        <w:numPr>
          <w:ilvl w:val="0"/>
          <w:numId w:val="1002"/>
        </w:numPr>
      </w:pPr>
      <w:r>
        <w:t xml:space="preserve">Ma, M., et al. (2024). SciAgent: Tool-augmented language models for scientific reasoning.</w:t>
      </w:r>
      <w:r>
        <w:t xml:space="preserve"> </w:t>
      </w:r>
      <w:r>
        <w:rPr>
          <w:i/>
          <w:iCs/>
        </w:rPr>
        <w:t xml:space="preserve">arXiv preprint arXiv:2402.11451</w:t>
      </w:r>
      <w:r>
        <w:t xml:space="preserve">. [PREPRINT]</w:t>
      </w:r>
    </w:p>
    <w:p>
      <w:pPr>
        <w:pStyle w:val="Compact"/>
        <w:numPr>
          <w:ilvl w:val="0"/>
          <w:numId w:val="1002"/>
        </w:numPr>
      </w:pPr>
      <w:r>
        <w:t xml:space="preserve">Makridakis, S., Spiliotis, E., &amp; Assimakopoulos, V. (2020). The M4 competition: 100,000 time series and 61 forecasting methods.</w:t>
      </w:r>
      <w:r>
        <w:t xml:space="preserve"> </w:t>
      </w:r>
      <w:r>
        <w:rPr>
          <w:i/>
          <w:iCs/>
        </w:rPr>
        <w:t xml:space="preserve">International Journal of Forecasting</w:t>
      </w:r>
      <w:r>
        <w:t xml:space="preserve">,</w:t>
      </w:r>
      <w:r>
        <w:t xml:space="preserve"> </w:t>
      </w:r>
      <w:r>
        <w:rPr>
          <w:i/>
          <w:iCs/>
        </w:rPr>
        <w:t xml:space="preserve">36</w:t>
      </w:r>
      <w:r>
        <w:t xml:space="preserve">(1), 54–74.</w:t>
      </w:r>
    </w:p>
    <w:p>
      <w:pPr>
        <w:pStyle w:val="Compact"/>
        <w:numPr>
          <w:ilvl w:val="0"/>
          <w:numId w:val="1002"/>
        </w:numPr>
      </w:pPr>
      <w:r>
        <w:t xml:space="preserve">Makridakis, S., Spiliotis, E., &amp; Assimakopoulos, V. (2022). M5 accuracy competition: Results, findings, and conclusions.</w:t>
      </w:r>
      <w:r>
        <w:t xml:space="preserve"> </w:t>
      </w:r>
      <w:r>
        <w:rPr>
          <w:i/>
          <w:iCs/>
        </w:rPr>
        <w:t xml:space="preserve">International Journal of Forecasting</w:t>
      </w:r>
      <w:r>
        <w:t xml:space="preserve">,</w:t>
      </w:r>
      <w:r>
        <w:t xml:space="preserve"> </w:t>
      </w:r>
      <w:r>
        <w:rPr>
          <w:i/>
          <w:iCs/>
        </w:rPr>
        <w:t xml:space="preserve">38</w:t>
      </w:r>
      <w:r>
        <w:t xml:space="preserve">(4), 1346–1364.</w:t>
      </w:r>
    </w:p>
    <w:p>
      <w:pPr>
        <w:pStyle w:val="Compact"/>
        <w:numPr>
          <w:ilvl w:val="0"/>
          <w:numId w:val="1002"/>
        </w:numPr>
      </w:pPr>
      <w:r>
        <w:t xml:space="preserve">Mandi, J., Kotary, J., Berden, S., Mulamba, M., Bucarey, V., Guns, T., &amp; Fioretto, F. (2024). Decision-focused learning: Foundations, state of the art, benchmark and future opportunities.</w:t>
      </w:r>
      <w:r>
        <w:t xml:space="preserve"> </w:t>
      </w:r>
      <w:r>
        <w:rPr>
          <w:i/>
          <w:iCs/>
        </w:rPr>
        <w:t xml:space="preserve">Journal of Artificial Intelligence Research</w:t>
      </w:r>
      <w:r>
        <w:t xml:space="preserve">,</w:t>
      </w:r>
      <w:r>
        <w:t xml:space="preserve"> </w:t>
      </w:r>
      <w:r>
        <w:rPr>
          <w:i/>
          <w:iCs/>
        </w:rPr>
        <w:t xml:space="preserve">81</w:t>
      </w:r>
      <w:r>
        <w:t xml:space="preserve">, 1623–1701. https://doi.org/10.1613/jair.1.15320</w:t>
      </w:r>
    </w:p>
    <w:p>
      <w:pPr>
        <w:pStyle w:val="Compact"/>
        <w:numPr>
          <w:ilvl w:val="0"/>
          <w:numId w:val="1002"/>
        </w:numPr>
      </w:pPr>
      <w:r>
        <w:t xml:space="preserve">Mehta, S. (2025). Beyond accuracy: A multi-dimensional framework for evaluating enterprise agentic AI systems.</w:t>
      </w:r>
      <w:r>
        <w:t xml:space="preserve"> </w:t>
      </w:r>
      <w:r>
        <w:rPr>
          <w:i/>
          <w:iCs/>
        </w:rPr>
        <w:t xml:space="preserve">arXiv preprint arXiv:2511.14136</w:t>
      </w:r>
      <w:r>
        <w:t xml:space="preserve">. [PREPRINT]</w:t>
      </w:r>
    </w:p>
    <w:p>
      <w:pPr>
        <w:pStyle w:val="Compact"/>
        <w:numPr>
          <w:ilvl w:val="0"/>
          <w:numId w:val="1002"/>
        </w:numPr>
      </w:pPr>
      <w:r>
        <w:t xml:space="preserve">Ng, S. (2017).</w:t>
      </w:r>
      <w:r>
        <w:t xml:space="preserve"> </w:t>
      </w:r>
      <w:r>
        <w:rPr>
          <w:i/>
          <w:iCs/>
        </w:rPr>
        <w:t xml:space="preserve">Opportunities and challenges: Lessons from analyzing terabytes of scanner data</w:t>
      </w:r>
      <w:r>
        <w:t xml:space="preserve"> </w:t>
      </w:r>
      <w:r>
        <w:t xml:space="preserve">(Working Paper No. 23673). National Bureau of Economic Research. https://doi.org/10.3386/w23673</w:t>
      </w:r>
    </w:p>
    <w:p>
      <w:pPr>
        <w:pStyle w:val="Compact"/>
        <w:numPr>
          <w:ilvl w:val="0"/>
          <w:numId w:val="1002"/>
        </w:numPr>
      </w:pPr>
      <w:r>
        <w:t xml:space="preserve">Nguyen, T. T. H., et al. (2025). Innovative machine learning approaches for complexity in economic forecasting and SME growth: A comprehensive review.</w:t>
      </w:r>
      <w:r>
        <w:t xml:space="preserve"> </w:t>
      </w:r>
      <w:r>
        <w:rPr>
          <w:i/>
          <w:iCs/>
        </w:rPr>
        <w:t xml:space="preserve">International Journal of Innovation Studies</w:t>
      </w:r>
      <w:r>
        <w:t xml:space="preserve">,</w:t>
      </w:r>
      <w:r>
        <w:t xml:space="preserve"> </w:t>
      </w:r>
      <w:r>
        <w:rPr>
          <w:i/>
          <w:iCs/>
        </w:rPr>
        <w:t xml:space="preserve">9</w:t>
      </w:r>
      <w:r>
        <w:t xml:space="preserve">(1).</w:t>
      </w:r>
    </w:p>
    <w:p>
      <w:pPr>
        <w:pStyle w:val="Compact"/>
        <w:numPr>
          <w:ilvl w:val="0"/>
          <w:numId w:val="1002"/>
        </w:numPr>
      </w:pPr>
      <w:r>
        <w:t xml:space="preserve">Olszak, C. M., &amp; Bartuś, K. (2025). AI-enhanced business intelligence for decision-making.</w:t>
      </w:r>
      <w:r>
        <w:t xml:space="preserve"> </w:t>
      </w:r>
      <w:r>
        <w:rPr>
          <w:i/>
          <w:iCs/>
        </w:rPr>
        <w:t xml:space="preserve">Procedia Computer Science</w:t>
      </w:r>
      <w:r>
        <w:t xml:space="preserve">,</w:t>
      </w:r>
      <w:r>
        <w:t xml:space="preserve"> </w:t>
      </w:r>
      <w:r>
        <w:rPr>
          <w:i/>
          <w:iCs/>
        </w:rPr>
        <w:t xml:space="preserve">270</w:t>
      </w:r>
      <w:r>
        <w:t xml:space="preserve">, 415–425. https://doi.org/10.1016/j.procs.2025.09.160</w:t>
      </w:r>
    </w:p>
    <w:p>
      <w:pPr>
        <w:pStyle w:val="Compact"/>
        <w:numPr>
          <w:ilvl w:val="0"/>
          <w:numId w:val="1002"/>
        </w:numPr>
      </w:pPr>
      <w:r>
        <w:t xml:space="preserve">Paranjape, B., Lundberg, S., Singh, S., Hajishirzi, H., Zettlemoyer, L., &amp; Ribeiro, M. T. (2023). ART: Automatic multi-step reasoning and tool-use for large language models.</w:t>
      </w:r>
      <w:r>
        <w:t xml:space="preserve"> </w:t>
      </w:r>
      <w:r>
        <w:rPr>
          <w:i/>
          <w:iCs/>
        </w:rPr>
        <w:t xml:space="preserve">arXiv preprint arXiv:2303.09014</w:t>
      </w:r>
      <w:r>
        <w:t xml:space="preserve">. [PREPRINT]</w:t>
      </w:r>
    </w:p>
    <w:p>
      <w:pPr>
        <w:pStyle w:val="Compact"/>
        <w:numPr>
          <w:ilvl w:val="0"/>
          <w:numId w:val="1002"/>
        </w:numPr>
      </w:pPr>
      <w:r>
        <w:t xml:space="preserve">Peffers, K., Tuunanen, T., Rothenberger, M. A., &amp; Chatterjee, S. (2007). A design science research methodology for information systems research.</w:t>
      </w:r>
      <w:r>
        <w:t xml:space="preserve"> </w:t>
      </w:r>
      <w:r>
        <w:rPr>
          <w:i/>
          <w:iCs/>
        </w:rPr>
        <w:t xml:space="preserve">Journal of Management Information Systems</w:t>
      </w:r>
      <w:r>
        <w:t xml:space="preserve">,</w:t>
      </w:r>
      <w:r>
        <w:t xml:space="preserve"> </w:t>
      </w:r>
      <w:r>
        <w:rPr>
          <w:i/>
          <w:iCs/>
        </w:rPr>
        <w:t xml:space="preserve">24</w:t>
      </w:r>
      <w:r>
        <w:t xml:space="preserve">(3), 45–77. https://doi.org/10.2753/MIS0742-1222240302</w:t>
      </w:r>
    </w:p>
    <w:p>
      <w:pPr>
        <w:pStyle w:val="Compact"/>
        <w:numPr>
          <w:ilvl w:val="0"/>
          <w:numId w:val="1002"/>
        </w:numPr>
      </w:pPr>
      <w:r>
        <w:t xml:space="preserve">Rinaldi, G., Giordano, F., De Stefano, C., &amp; Fontanella, F. (2025). DSS4EX: A decision support system framework to explore artificial intelligence pipelines with an application in time series forecasting.</w:t>
      </w:r>
      <w:r>
        <w:t xml:space="preserve"> </w:t>
      </w:r>
      <w:r>
        <w:rPr>
          <w:i/>
          <w:iCs/>
        </w:rPr>
        <w:t xml:space="preserve">Expert Systems With Applications</w:t>
      </w:r>
      <w:r>
        <w:t xml:space="preserve">,</w:t>
      </w:r>
      <w:r>
        <w:t xml:space="preserve"> </w:t>
      </w:r>
      <w:r>
        <w:rPr>
          <w:i/>
          <w:iCs/>
        </w:rPr>
        <w:t xml:space="preserve">269</w:t>
      </w:r>
      <w:r>
        <w:t xml:space="preserve">, 126421.</w:t>
      </w:r>
    </w:p>
    <w:p>
      <w:pPr>
        <w:pStyle w:val="Compact"/>
        <w:numPr>
          <w:ilvl w:val="0"/>
          <w:numId w:val="1002"/>
        </w:numPr>
      </w:pPr>
      <w:r>
        <w:t xml:space="preserve">Sapkota, R., Roumeliotis, K. I., &amp; Karkee, M. (2025). AI agents vs. agentic AI: A conceptual taxonomy, applications and challenges.</w:t>
      </w:r>
      <w:r>
        <w:t xml:space="preserve"> </w:t>
      </w:r>
      <w:r>
        <w:rPr>
          <w:i/>
          <w:iCs/>
        </w:rPr>
        <w:t xml:space="preserve">Information Fusion</w:t>
      </w:r>
      <w:r>
        <w:t xml:space="preserve">,</w:t>
      </w:r>
      <w:r>
        <w:t xml:space="preserve"> </w:t>
      </w:r>
      <w:r>
        <w:rPr>
          <w:i/>
          <w:iCs/>
        </w:rPr>
        <w:t xml:space="preserve">126</w:t>
      </w:r>
      <w:r>
        <w:t xml:space="preserve">, Article 103599. https://doi.org/10.1016/j.inffus.2025.103599</w:t>
      </w:r>
    </w:p>
    <w:p>
      <w:pPr>
        <w:pStyle w:val="Compact"/>
        <w:numPr>
          <w:ilvl w:val="0"/>
          <w:numId w:val="1002"/>
        </w:numPr>
      </w:pPr>
      <w:r>
        <w:t xml:space="preserve">Sapra, K. N., Sapra, G., Hada, R., &amp; Pareek, N. (2025). AgentCompass: Towards reliable evaluation of agentic workflows in production.</w:t>
      </w:r>
      <w:r>
        <w:t xml:space="preserve"> </w:t>
      </w:r>
      <w:r>
        <w:rPr>
          <w:i/>
          <w:iCs/>
        </w:rPr>
        <w:t xml:space="preserve">arXiv preprint arXiv:2509.14647</w:t>
      </w:r>
      <w:r>
        <w:t xml:space="preserve">. [PREPRINT]</w:t>
      </w:r>
    </w:p>
    <w:p>
      <w:pPr>
        <w:pStyle w:val="Compact"/>
        <w:numPr>
          <w:ilvl w:val="0"/>
          <w:numId w:val="1002"/>
        </w:numPr>
      </w:pPr>
      <w:r>
        <w:t xml:space="preserve">Saunders, M. N. K., Lewis, P., &amp; Thornhill, A. (2023).</w:t>
      </w:r>
      <w:r>
        <w:t xml:space="preserve"> </w:t>
      </w:r>
      <w:r>
        <w:rPr>
          <w:i/>
          <w:iCs/>
        </w:rPr>
        <w:t xml:space="preserve">Research Methods for Business Students</w:t>
      </w:r>
      <w:r>
        <w:t xml:space="preserve"> </w:t>
      </w:r>
      <w:r>
        <w:t xml:space="preserve">(9th ed.). Harlow: Pearson.</w:t>
      </w:r>
    </w:p>
    <w:p>
      <w:pPr>
        <w:pStyle w:val="Compact"/>
        <w:numPr>
          <w:ilvl w:val="0"/>
          <w:numId w:val="1002"/>
        </w:numPr>
      </w:pPr>
      <w:r>
        <w:t xml:space="preserve">Schick, T., Dwivedi-Yu, J., Dessì, R., Raileanu, R., Lomeli, M., Zettlemoyer, L., Cancedda, N., &amp; Scialom, T. (2023). Toolformer: Language models can teach themselves to use tools. In</w:t>
      </w:r>
      <w:r>
        <w:t xml:space="preserve"> </w:t>
      </w:r>
      <w:r>
        <w:rPr>
          <w:i/>
          <w:iCs/>
        </w:rPr>
        <w:t xml:space="preserve">Advances in Neural Information Processing Systems 36</w:t>
      </w:r>
      <w:r>
        <w:t xml:space="preserve"> </w:t>
      </w:r>
      <w:r>
        <w:t xml:space="preserve">(NeurIPS 2023).</w:t>
      </w:r>
    </w:p>
    <w:p>
      <w:pPr>
        <w:pStyle w:val="Compact"/>
        <w:numPr>
          <w:ilvl w:val="0"/>
          <w:numId w:val="1002"/>
        </w:numPr>
      </w:pPr>
      <w:r>
        <w:t xml:space="preserve">Semerikov, S. O., Vakaliuk, T. A., Kanevska, O. B., Ostroushko, O. A., &amp; Kolhatin, A. O. (2025). Edge intelligence unleashed: A survey on deploying large language models in resource-constrained environments.</w:t>
      </w:r>
      <w:r>
        <w:t xml:space="preserve"> </w:t>
      </w:r>
      <w:r>
        <w:rPr>
          <w:i/>
          <w:iCs/>
        </w:rPr>
        <w:t xml:space="preserve">Journal of Edge Computing</w:t>
      </w:r>
      <w:r>
        <w:t xml:space="preserve">,</w:t>
      </w:r>
      <w:r>
        <w:t xml:space="preserve"> </w:t>
      </w:r>
      <w:r>
        <w:rPr>
          <w:i/>
          <w:iCs/>
        </w:rPr>
        <w:t xml:space="preserve">4</w:t>
      </w:r>
      <w:r>
        <w:t xml:space="preserve">(2). https://doi.org/10.55056/jec.1000</w:t>
      </w:r>
    </w:p>
    <w:p>
      <w:pPr>
        <w:pStyle w:val="Compact"/>
        <w:numPr>
          <w:ilvl w:val="0"/>
          <w:numId w:val="1002"/>
        </w:numPr>
      </w:pPr>
      <w:r>
        <w:t xml:space="preserve">Wang, R., Chen, Y., Wang, Y., Wu, C., Fang, J., Cai, X., Gu, Q., Su, H., Zhang, A., Wang, X., Cai, X., &amp; Chua, T.-S. (2026). AgentNoiseBench: Benchmarking robustness of tool-using LLM agents under noisy conditions.</w:t>
      </w:r>
      <w:r>
        <w:t xml:space="preserve"> </w:t>
      </w:r>
      <w:r>
        <w:rPr>
          <w:i/>
          <w:iCs/>
        </w:rPr>
        <w:t xml:space="preserve">arXiv preprint arXiv:2602.11348</w:t>
      </w:r>
      <w:r>
        <w:t xml:space="preserve">. [PREPRINT]</w:t>
      </w:r>
    </w:p>
    <w:p>
      <w:pPr>
        <w:pStyle w:val="Compact"/>
        <w:numPr>
          <w:ilvl w:val="0"/>
          <w:numId w:val="1002"/>
        </w:numPr>
      </w:pPr>
      <w:r>
        <w:t xml:space="preserve">Wang, X., Chen, Y., Yuan, L., Zhang, Y., Li, Y., Ji, H., &amp; Tong, H. (2024). Executable code actions elicit better LLM agents. In</w:t>
      </w:r>
      <w:r>
        <w:t xml:space="preserve"> </w:t>
      </w:r>
      <w:r>
        <w:rPr>
          <w:i/>
          <w:iCs/>
        </w:rPr>
        <w:t xml:space="preserve">Proceedings of ICML 2024</w:t>
      </w:r>
      <w:r>
        <w:t xml:space="preserve">.</w:t>
      </w:r>
    </w:p>
    <w:p>
      <w:pPr>
        <w:pStyle w:val="Compact"/>
        <w:numPr>
          <w:ilvl w:val="0"/>
          <w:numId w:val="1002"/>
        </w:numPr>
      </w:pPr>
      <w:r>
        <w:t xml:space="preserve">Wu, Y., et al. (2025). ScoreFlow: Mastering LLM agent workflows via score-based preference optimization.</w:t>
      </w:r>
      <w:r>
        <w:t xml:space="preserve"> </w:t>
      </w:r>
      <w:r>
        <w:rPr>
          <w:i/>
          <w:iCs/>
        </w:rPr>
        <w:t xml:space="preserve">arXiv preprint arXiv:2502.04306</w:t>
      </w:r>
      <w:r>
        <w:t xml:space="preserve">. [PREPRINT]</w:t>
      </w:r>
    </w:p>
    <w:p>
      <w:pPr>
        <w:pStyle w:val="Compact"/>
        <w:numPr>
          <w:ilvl w:val="0"/>
          <w:numId w:val="1002"/>
        </w:numPr>
      </w:pPr>
      <w:r>
        <w:t xml:space="preserve">Ye, J., Wang, Y., Huang, Y., Chen, D., Zhang, Q., Moniz, N., Gao, T., Geyer, W., Huang, C., Chen, P.-Y., Chawla, N. V., &amp; Zhang, X. (2024). Justice or prejudice? Quantifying biases in LLM-as-a-judge.</w:t>
      </w:r>
      <w:r>
        <w:t xml:space="preserve"> </w:t>
      </w:r>
      <w:r>
        <w:rPr>
          <w:i/>
          <w:iCs/>
        </w:rPr>
        <w:t xml:space="preserve">arXiv preprint arXiv:2410.02736</w:t>
      </w:r>
      <w:r>
        <w:t xml:space="preserve">. [PREPRINT, peer-review status uncertain, verify]</w:t>
      </w:r>
    </w:p>
    <w:p>
      <w:pPr>
        <w:pStyle w:val="Compact"/>
        <w:numPr>
          <w:ilvl w:val="0"/>
          <w:numId w:val="1002"/>
        </w:numPr>
      </w:pPr>
      <w:r>
        <w:t xml:space="preserve">Zheng, G., Almahri, S., Xu, L., Minaricova, M., &amp; Brintrup, A. (2025). LLMs in supply chain management: Opportunities and a case study.</w:t>
      </w:r>
      <w:r>
        <w:t xml:space="preserve"> </w:t>
      </w:r>
      <w:r>
        <w:rPr>
          <w:i/>
          <w:iCs/>
        </w:rPr>
        <w:t xml:space="preserve">IFAC-PapersOnLine</w:t>
      </w:r>
      <w:r>
        <w:t xml:space="preserve">,</w:t>
      </w:r>
      <w:r>
        <w:t xml:space="preserve"> </w:t>
      </w:r>
      <w:r>
        <w:rPr>
          <w:i/>
          <w:iCs/>
        </w:rPr>
        <w:t xml:space="preserve">59</w:t>
      </w:r>
      <w:r>
        <w:t xml:space="preserve">(10), 2951–2956. https://doi.org/10.1016/j.ifacol.2025.09.496</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2026-07-03T10:22:31Z</dcterms:created>
  <dcterms:modified xsi:type="dcterms:W3CDTF">2026-07-03T10:22:31Z</dcterms:modified>
</cp:coreProperties>
</file>

<file path=docProps/custom.xml><?xml version="1.0" encoding="utf-8"?>
<Properties xmlns="http://schemas.openxmlformats.org/officeDocument/2006/custom-properties" xmlns:vt="http://schemas.openxmlformats.org/officeDocument/2006/docPropsVTypes"/>
</file>