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32"/>
        </w:rPr>
        <w:t>VISIONGUARD 360 HEALTHCARE</w:t>
        <w:br/>
      </w:r>
      <w:r>
        <w:rPr>
          <w:color w:val="0284C7"/>
          <w:sz w:val="18"/>
        </w:rPr>
        <w:t>Department of Radiology &amp; Advanced AI Diagnostics | Diagnostic Imaging Report</w:t>
      </w:r>
    </w:p>
    <w:p>
      <w:r>
        <w:t>???????????????????????????????????????????????????????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  <w:color w:val="64748B"/>
                <w:sz w:val="17"/>
              </w:rPr>
              <w:t>PATIENT NAME:</w:t>
            </w:r>
          </w:p>
        </w:tc>
        <w:tc>
          <w:tcPr>
            <w:tcW w:type="dxa" w:w="2628"/>
          </w:tcPr>
          <w:p>
            <w:r>
              <w:rPr>
                <w:sz w:val="17"/>
              </w:rPr>
              <w:t>Maria Gomez</w:t>
            </w:r>
          </w:p>
        </w:tc>
        <w:tc>
          <w:tcPr>
            <w:tcW w:type="dxa" w:w="2628"/>
          </w:tcPr>
          <w:p>
            <w:r>
              <w:rPr>
                <w:b/>
                <w:color w:val="64748B"/>
                <w:sz w:val="17"/>
              </w:rPr>
              <w:t>ACCESSION #:</w:t>
            </w:r>
          </w:p>
        </w:tc>
        <w:tc>
          <w:tcPr>
            <w:tcW w:type="dxa" w:w="2628"/>
          </w:tcPr>
          <w:p>
            <w:r>
              <w:rPr>
                <w:sz w:val="17"/>
              </w:rPr>
              <w:t>ACC-2026-US-004</w:t>
            </w:r>
          </w:p>
        </w:tc>
      </w:tr>
      <w:tr>
        <w:tc>
          <w:tcPr>
            <w:tcW w:type="dxa" w:w="2628"/>
          </w:tcPr>
          <w:p>
            <w:r>
              <w:rPr>
                <w:b/>
                <w:color w:val="64748B"/>
                <w:sz w:val="17"/>
              </w:rPr>
              <w:t>MRN:</w:t>
            </w:r>
          </w:p>
        </w:tc>
        <w:tc>
          <w:tcPr>
            <w:tcW w:type="dxa" w:w="2628"/>
          </w:tcPr>
          <w:p>
            <w:r>
              <w:rPr>
                <w:sz w:val="17"/>
              </w:rPr>
              <w:t>MRN-US-77182</w:t>
            </w:r>
          </w:p>
        </w:tc>
        <w:tc>
          <w:tcPr>
            <w:tcW w:type="dxa" w:w="2628"/>
          </w:tcPr>
          <w:p>
            <w:r>
              <w:rPr>
                <w:b/>
                <w:color w:val="64748B"/>
                <w:sz w:val="17"/>
              </w:rPr>
              <w:t>STUDY DATE:</w:t>
            </w:r>
          </w:p>
        </w:tc>
        <w:tc>
          <w:tcPr>
            <w:tcW w:type="dxa" w:w="2628"/>
          </w:tcPr>
          <w:p>
            <w:r>
              <w:rPr>
                <w:sz w:val="17"/>
              </w:rPr>
              <w:t>2026-09-14</w:t>
            </w:r>
          </w:p>
        </w:tc>
      </w:tr>
      <w:tr>
        <w:tc>
          <w:tcPr>
            <w:tcW w:type="dxa" w:w="2628"/>
          </w:tcPr>
          <w:p>
            <w:r>
              <w:rPr>
                <w:b/>
                <w:color w:val="64748B"/>
                <w:sz w:val="17"/>
              </w:rPr>
              <w:t>AGE / SEX:</w:t>
            </w:r>
          </w:p>
        </w:tc>
        <w:tc>
          <w:tcPr>
            <w:tcW w:type="dxa" w:w="2628"/>
          </w:tcPr>
          <w:p>
            <w:r>
              <w:rPr>
                <w:sz w:val="17"/>
              </w:rPr>
              <w:t>39 / F</w:t>
            </w:r>
          </w:p>
        </w:tc>
        <w:tc>
          <w:tcPr>
            <w:tcW w:type="dxa" w:w="2628"/>
          </w:tcPr>
          <w:p>
            <w:r>
              <w:rPr>
                <w:b/>
                <w:color w:val="64748B"/>
                <w:sz w:val="17"/>
              </w:rPr>
              <w:t>MODALITY:</w:t>
            </w:r>
          </w:p>
        </w:tc>
        <w:tc>
          <w:tcPr>
            <w:tcW w:type="dxa" w:w="2628"/>
          </w:tcPr>
          <w:p>
            <w:r>
              <w:rPr>
                <w:sz w:val="17"/>
              </w:rPr>
              <w:t>ULTRASOUND - THYROID</w:t>
            </w:r>
          </w:p>
        </w:tc>
      </w:tr>
      <w:tr>
        <w:tc>
          <w:tcPr>
            <w:tcW w:type="dxa" w:w="2628"/>
          </w:tcPr>
          <w:p>
            <w:r>
              <w:rPr>
                <w:b/>
                <w:color w:val="64748B"/>
                <w:sz w:val="17"/>
              </w:rPr>
              <w:t>REFERRING MD:</w:t>
            </w:r>
          </w:p>
        </w:tc>
        <w:tc>
          <w:tcPr>
            <w:tcW w:type="dxa" w:w="2628"/>
          </w:tcPr>
          <w:p>
            <w:r>
              <w:rPr>
                <w:sz w:val="17"/>
              </w:rPr>
              <w:t>Dr. Carlos Mendez, MD (Endocrinology)</w:t>
            </w:r>
          </w:p>
        </w:tc>
        <w:tc>
          <w:tcPr>
            <w:tcW w:type="dxa" w:w="2628"/>
          </w:tcPr>
          <w:p>
            <w:r>
              <w:rPr>
                <w:b/>
                <w:color w:val="64748B"/>
                <w:sz w:val="17"/>
              </w:rPr>
              <w:t>REPORT STATUS:</w:t>
            </w:r>
          </w:p>
        </w:tc>
        <w:tc>
          <w:tcPr>
            <w:tcW w:type="dxa" w:w="2628"/>
          </w:tcPr>
          <w:p>
            <w:r>
              <w:rPr>
                <w:sz w:val="17"/>
              </w:rPr>
              <w:t>DRAFT</w:t>
            </w:r>
          </w:p>
        </w:tc>
      </w:tr>
    </w:tbl>
    <w:p/>
    <w:p>
      <w:r>
        <w:rPr>
          <w:b/>
          <w:color w:val="0284C7"/>
          <w:sz w:val="22"/>
        </w:rPr>
        <w:t>CLINICAL INDICATION</w:t>
      </w:r>
    </w:p>
    <w:p>
      <w:pPr>
        <w:spacing w:after="120"/>
      </w:pPr>
      <w:r>
        <w:t>39-year-old female with asymptomatic fullness in right lower neck noted during routine preventive physical examination.</w:t>
      </w:r>
    </w:p>
    <w:p>
      <w:r>
        <w:rPr>
          <w:b/>
          <w:color w:val="0284C7"/>
          <w:sz w:val="22"/>
        </w:rPr>
        <w:t>TECHNIQUE</w:t>
      </w:r>
    </w:p>
    <w:p>
      <w:pPr>
        <w:spacing w:after="120"/>
      </w:pPr>
      <w:r>
        <w:t>High-resolution grayscale sonography and color Doppler interrogation of the thyroid gland bilaterally.</w:t>
      </w:r>
    </w:p>
    <w:p>
      <w:r>
        <w:rPr>
          <w:b/>
          <w:color w:val="0284C7"/>
          <w:sz w:val="22"/>
        </w:rPr>
        <w:t>NARRATIVE FINDINGS</w:t>
      </w:r>
    </w:p>
    <w:p>
      <w:pPr>
        <w:spacing w:after="120"/>
      </w:pPr>
      <w:r>
        <w:t>• Right Lobe: Measures 4.2 x 1.6 x 1.5 cm. Mid-pole contains a 1.4 cm solid, mildly hypoechoic nodule with peripheral vascular halo.</w:t>
        <w:br/>
        <w:t>• Left Lobe: Measures 3.8 x 1.4 x 1.3 cm. Homogeneous echotexture without focal nodules.</w:t>
        <w:br/>
        <w:t>• Lymph Nodes: No suspicious cervical lymphadenopathy identified.</w:t>
      </w:r>
    </w:p>
    <w:p>
      <w:r>
        <w:rPr>
          <w:b/>
          <w:color w:val="0284C7"/>
          <w:sz w:val="22"/>
        </w:rPr>
        <w:t>IMPRESSION</w:t>
      </w:r>
    </w:p>
    <w:p>
      <w:pPr>
        <w:spacing w:after="120"/>
      </w:pPr>
      <w:r>
        <w:t>1. Solitary 1.4 cm mildly hypoechoic nodule in the mid-pole of the right thyroid lobe.</w:t>
        <w:br/>
        <w:t>2. Classified under ACR TI-RADS as TR3 (Mildly Suspicious, 3 points).</w:t>
      </w:r>
    </w:p>
    <w:p>
      <w:r>
        <w:rPr>
          <w:b/>
          <w:color w:val="0284C7"/>
          <w:sz w:val="22"/>
        </w:rPr>
        <w:t>RECOMMENDATIONS</w:t>
      </w:r>
    </w:p>
    <w:p>
      <w:pPr>
        <w:spacing w:after="120"/>
      </w:pPr>
      <w:r>
        <w:t>1. Follow-up sonogram in 12 months to document size stability (biopsy threshold for TR3 is &gt;= 2.5 cm).</w:t>
        <w:br/>
        <w:t>2. Baseline serum TSH level if not already acquired.</w:t>
      </w:r>
    </w:p>
    <w:p>
      <w:r>
        <w:rPr>
          <w:b/>
          <w:color w:val="0284C7"/>
          <w:sz w:val="22"/>
        </w:rPr>
        <w:t>CLINICAL NOTES &amp; AI REASONING</w:t>
      </w:r>
    </w:p>
    <w:p>
      <w:pPr>
        <w:spacing w:after="120"/>
      </w:pPr>
      <w:r>
        <w:t>MONAI TI-RADS workflow points: Composition (Solid=2), Echogenicity (Hypoechoic=1), Shape (Wider-than-tall=0), Margin (Smooth=0), Echogenic foci (None=0). Total: 3 points (TR3).</w:t>
      </w:r>
    </w:p>
    <w:p>
      <w:r>
        <w:t>???????????????????????????????????????????????????????</w:t>
      </w:r>
    </w:p>
    <w:p>
      <w:r>
        <w:rPr>
          <w:b/>
        </w:rPr>
        <w:t>Electronically Signed by: Dr. Sarah Al-Mansoor, MD, DABR</w:t>
        <w:br/>
      </w:r>
      <w:r>
        <w:t>Timestamp: 2026-09-14 18:15:06 UTC | VisionGuard 360 Certified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