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0B1F3A"/>
          <w:sz w:val="44"/>
          <w:szCs w:val="44"/>
        </w:rPr>
        <w:t xml:space="preserve">BANKING CREDIT RISK ANALYSIS</w:t>
      </w:r>
    </w:p>
    <w:p>
      <w:pPr>
        <w:pBdr>
          <w:bottom w:val="single" w:color="2A9D8F" w:sz="12" w:space="6"/>
        </w:pBdr>
        <w:spacing w:after="120"/>
      </w:pPr>
      <w:r>
        <w:rPr>
          <w:color w:val="6C757D"/>
          <w:sz w:val="26"/>
          <w:szCs w:val="26"/>
        </w:rPr>
        <w:t xml:space="preserve">A look at which borrowers default on loans, and why</w:t>
      </w:r>
    </w:p>
    <w:p>
      <w:pPr>
        <w:spacing w:after="40" w:line="288"/>
      </w:pPr>
      <w:r>
        <w:rPr>
          <w:b/>
          <w:bCs/>
          <w:color w:val="6C757D"/>
          <w:sz w:val="20"/>
          <w:szCs w:val="20"/>
        </w:rPr>
        <w:t xml:space="preserve">Tools:</w:t>
      </w:r>
      <w:r>
        <w:rPr>
          <w:color w:val="6C757D"/>
          <w:sz w:val="20"/>
          <w:szCs w:val="20"/>
        </w:rPr>
        <w:t xml:space="preserve"> Python (pandas, matplotlib, seaborn), Power BI (DAX)</w:t>
      </w:r>
    </w:p>
    <w:p>
      <w:pPr>
        <w:spacing w:after="200" w:line="288"/>
      </w:pPr>
      <w:r>
        <w:rPr>
          <w:b/>
          <w:bCs/>
          <w:color w:val="6C757D"/>
          <w:sz w:val="20"/>
          <w:szCs w:val="20"/>
        </w:rPr>
        <w:t xml:space="preserve">Data:</w:t>
      </w:r>
      <w:r>
        <w:rPr>
          <w:color w:val="6C757D"/>
          <w:sz w:val="20"/>
          <w:szCs w:val="20"/>
        </w:rPr>
        <w:t xml:space="preserve"> Credit Risk Dataset from Kaggle, 32,581 loan records, 12 columns</w:t>
      </w:r>
    </w:p>
    <w:p>
      <w:pPr>
        <w:pStyle w:val="Heading1"/>
      </w:pPr>
      <w:r>
        <w:t xml:space="preserve">Summary</w:t>
      </w:r>
    </w:p>
    <w:p>
      <w:pPr>
        <w:spacing w:after="120" w:line="288"/>
      </w:pPr>
      <w:r>
        <w:rPr>
          <w:sz w:val="22"/>
          <w:szCs w:val="22"/>
        </w:rPr>
        <w:t xml:space="preserve">For this project I analysed a set of personal loans to answer a question every bank risk team cares about: which borrowers are most likely to default, and what is behind it? I cleaned and explored the data in Python, then built a three-page Power BI dashboard to show the results.</w:t>
      </w:r>
    </w:p>
    <w:p>
      <w:pPr>
        <w:spacing w:after="120" w:line="288"/>
      </w:pPr>
      <w:r>
        <w:rPr>
          <w:sz w:val="22"/>
          <w:szCs w:val="22"/>
        </w:rPr>
        <w:t xml:space="preserve">About 21.9% of the loans in the data defaulted, roughly one in five. The more useful result is that the defaults are not spread evenly. A few groups account for most of the problem.</w:t>
      </w:r>
    </w:p>
    <w:p>
      <w:pPr>
        <w:spacing w:after="60"/>
      </w:pP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9DEE3" w:sz="4"/>
              <w:left w:val="single" w:color="D9DEE3" w:sz="4"/>
              <w:bottom w:val="single" w:color="D9DEE3" w:sz="4"/>
              <w:right w:val="single" w:color="D9DEE3" w:sz="4"/>
            </w:tcBorders>
            <w:shd w:fill="F4F6F8" w:color="auto" w:val="clear"/>
            <w:tcMar>
              <w:top w:type="dxa" w:w="140"/>
              <w:left w:type="dxa" w:w="100"/>
              <w:bottom w:type="dxa" w:w="140"/>
              <w:right w:type="dxa" w:w="100"/>
            </w:tcMar>
          </w:tcPr>
          <w:p>
            <w:pPr>
              <w:spacing w:after="20"/>
              <w:jc w:val="center"/>
            </w:pPr>
            <w:r>
              <w:rPr>
                <w:b/>
                <w:bCs/>
                <w:color w:val="0B1F3A"/>
                <w:sz w:val="40"/>
                <w:szCs w:val="40"/>
              </w:rPr>
              <w:t xml:space="preserve">32,409</w:t>
            </w:r>
          </w:p>
          <w:p>
            <w:pPr>
              <w:jc w:val="center"/>
            </w:pPr>
            <w:r>
              <w:rPr>
                <w:color w:val="6C757D"/>
                <w:sz w:val="18"/>
                <w:szCs w:val="18"/>
              </w:rPr>
              <w:t xml:space="preserve">Loans analysed</w:t>
            </w:r>
          </w:p>
        </w:tc>
        <w:tc>
          <w:tcPr>
            <w:tcW w:type="dxa" w:w="2256"/>
            <w:tcBorders>
              <w:top w:val="single" w:color="D9DEE3" w:sz="4"/>
              <w:left w:val="single" w:color="D9DEE3" w:sz="4"/>
              <w:bottom w:val="single" w:color="D9DEE3" w:sz="4"/>
              <w:right w:val="single" w:color="D9DEE3" w:sz="4"/>
            </w:tcBorders>
            <w:shd w:fill="F4F6F8" w:color="auto" w:val="clear"/>
            <w:tcMar>
              <w:top w:type="dxa" w:w="140"/>
              <w:left w:type="dxa" w:w="100"/>
              <w:bottom w:type="dxa" w:w="140"/>
              <w:right w:type="dxa" w:w="100"/>
            </w:tcMar>
          </w:tcPr>
          <w:p>
            <w:pPr>
              <w:spacing w:after="20"/>
              <w:jc w:val="center"/>
            </w:pPr>
            <w:r>
              <w:rPr>
                <w:b/>
                <w:bCs/>
                <w:color w:val="0B1F3A"/>
                <w:sz w:val="40"/>
                <w:szCs w:val="40"/>
              </w:rPr>
              <w:t xml:space="preserve">311M</w:t>
            </w:r>
          </w:p>
          <w:p>
            <w:pPr>
              <w:jc w:val="center"/>
            </w:pPr>
            <w:r>
              <w:rPr>
                <w:color w:val="6C757D"/>
                <w:sz w:val="18"/>
                <w:szCs w:val="18"/>
              </w:rPr>
              <w:t xml:space="preserve">Total exposure</w:t>
            </w:r>
          </w:p>
        </w:tc>
        <w:tc>
          <w:tcPr>
            <w:tcW w:type="dxa" w:w="2256"/>
            <w:tcBorders>
              <w:top w:val="single" w:color="D9DEE3" w:sz="4"/>
              <w:left w:val="single" w:color="D9DEE3" w:sz="4"/>
              <w:bottom w:val="single" w:color="D9DEE3" w:sz="4"/>
              <w:right w:val="single" w:color="D9DEE3" w:sz="4"/>
            </w:tcBorders>
            <w:shd w:fill="F4F6F8" w:color="auto" w:val="clear"/>
            <w:tcMar>
              <w:top w:type="dxa" w:w="140"/>
              <w:left w:type="dxa" w:w="100"/>
              <w:bottom w:type="dxa" w:w="140"/>
              <w:right w:type="dxa" w:w="100"/>
            </w:tcMar>
          </w:tcPr>
          <w:p>
            <w:pPr>
              <w:spacing w:after="20"/>
              <w:jc w:val="center"/>
            </w:pPr>
            <w:r>
              <w:rPr>
                <w:b/>
                <w:bCs/>
                <w:color w:val="E63946"/>
                <w:sz w:val="40"/>
                <w:szCs w:val="40"/>
              </w:rPr>
              <w:t xml:space="preserve">21.9%</w:t>
            </w:r>
          </w:p>
          <w:p>
            <w:pPr>
              <w:jc w:val="center"/>
            </w:pPr>
            <w:r>
              <w:rPr>
                <w:color w:val="6C757D"/>
                <w:sz w:val="18"/>
                <w:szCs w:val="18"/>
              </w:rPr>
              <w:t xml:space="preserve">Overall default rate</w:t>
            </w:r>
          </w:p>
        </w:tc>
        <w:tc>
          <w:tcPr>
            <w:tcW w:type="dxa" w:w="2256"/>
            <w:tcBorders>
              <w:top w:val="single" w:color="D9DEE3" w:sz="4"/>
              <w:left w:val="single" w:color="D9DEE3" w:sz="4"/>
              <w:bottom w:val="single" w:color="D9DEE3" w:sz="4"/>
              <w:right w:val="single" w:color="D9DEE3" w:sz="4"/>
            </w:tcBorders>
            <w:shd w:fill="F4F6F8" w:color="auto" w:val="clear"/>
            <w:tcMar>
              <w:top w:type="dxa" w:w="140"/>
              <w:left w:type="dxa" w:w="100"/>
              <w:bottom w:type="dxa" w:w="140"/>
              <w:right w:type="dxa" w:w="100"/>
            </w:tcMar>
          </w:tcPr>
          <w:p>
            <w:pPr>
              <w:spacing w:after="20"/>
              <w:jc w:val="center"/>
            </w:pPr>
            <w:r>
              <w:rPr>
                <w:b/>
                <w:bCs/>
                <w:color w:val="E63946"/>
                <w:sz w:val="40"/>
                <w:szCs w:val="40"/>
              </w:rPr>
              <w:t xml:space="preserve">70.4%</w:t>
            </w:r>
          </w:p>
          <w:p>
            <w:pPr>
              <w:jc w:val="center"/>
            </w:pPr>
            <w:r>
              <w:rPr>
                <w:color w:val="6C757D"/>
                <w:sz w:val="18"/>
                <w:szCs w:val="18"/>
              </w:rPr>
              <w:t xml:space="preserve">Default rate, very high burden</w:t>
            </w:r>
          </w:p>
        </w:tc>
      </w:tr>
    </w:tbl>
    <w:p>
      <w:pPr>
        <w:spacing w:after="160"/>
      </w:pPr>
    </w:p>
    <w:p>
      <w:pPr>
        <w:pStyle w:val="ListParagraph"/>
        <w:numPr>
          <w:ilvl w:val="0"/>
          <w:numId w:val="2"/>
        </w:numPr>
        <w:spacing w:after="80" w:line="276"/>
      </w:pPr>
      <w:r>
        <w:rPr>
          <w:sz w:val="22"/>
          <w:szCs w:val="22"/>
        </w:rPr>
        <w:t xml:space="preserve">Loans that were more than 30% of the borrower's income defaulted 70.4% of the time. Loans under 10% of income defaulted 11.8% of the time.</w:t>
      </w:r>
    </w:p>
    <w:p>
      <w:pPr>
        <w:pStyle w:val="ListParagraph"/>
        <w:numPr>
          <w:ilvl w:val="0"/>
          <w:numId w:val="2"/>
        </w:numPr>
        <w:spacing w:after="80" w:line="276"/>
      </w:pPr>
      <w:r>
        <w:rPr>
          <w:sz w:val="22"/>
          <w:szCs w:val="22"/>
        </w:rPr>
        <w:t xml:space="preserve">Grades A to C had default rates between 10% and 21%. For grades D to G the range was 59% to 98%.</w:t>
      </w:r>
    </w:p>
    <w:p>
      <w:pPr>
        <w:pStyle w:val="ListParagraph"/>
        <w:numPr>
          <w:ilvl w:val="0"/>
          <w:numId w:val="2"/>
        </w:numPr>
        <w:spacing w:after="80" w:line="276"/>
      </w:pPr>
      <w:r>
        <w:rPr>
          <w:sz w:val="22"/>
          <w:szCs w:val="22"/>
        </w:rPr>
        <w:t xml:space="preserve">Low income and a heavy debt burden made things worse together: borrowers earning under 30K with a very high burden defaulted 82.4% of the time.</w:t>
      </w:r>
    </w:p>
    <w:p>
      <w:pPr>
        <w:pStyle w:val="ListParagraph"/>
        <w:numPr>
          <w:ilvl w:val="0"/>
          <w:numId w:val="2"/>
        </w:numPr>
        <w:spacing w:after="80" w:line="276"/>
      </w:pPr>
      <w:r>
        <w:rPr>
          <w:sz w:val="22"/>
          <w:szCs w:val="22"/>
        </w:rPr>
        <w:t xml:space="preserve">Age made almost no difference (20.2% to 23.1% across age groups).</w:t>
      </w:r>
    </w:p>
    <w:p>
      <w:pPr>
        <w:pStyle w:val="Heading1"/>
      </w:pPr>
      <w:r>
        <w:t xml:space="preserve">1. The Business Problem</w:t>
      </w:r>
    </w:p>
    <w:p>
      <w:pPr>
        <w:spacing w:after="120" w:line="288"/>
      </w:pPr>
      <w:r>
        <w:rPr>
          <w:sz w:val="22"/>
          <w:szCs w:val="22"/>
        </w:rPr>
        <w:t xml:space="preserve">When a borrower stops repaying, the bank loses money. I wanted to find out where that risk sits in a loan portfolio and which borrower or loan details explain it, so a bank could decide who to lend to, how to price loans and which accounts to watch.</w:t>
      </w:r>
    </w:p>
    <w:p>
      <w:pPr>
        <w:keepNext/>
        <w:spacing w:after="120" w:line="288"/>
      </w:pPr>
      <w:r>
        <w:rPr>
          <w:sz w:val="22"/>
          <w:szCs w:val="22"/>
        </w:rPr>
        <w:t xml:space="preserve">I wrote down five questions to guide the work:</w:t>
      </w:r>
    </w:p>
    <w:p>
      <w:pPr>
        <w:pStyle w:val="ListParagraph"/>
        <w:numPr>
          <w:ilvl w:val="0"/>
          <w:numId w:val="3"/>
        </w:numPr>
        <w:spacing w:after="100" w:line="276"/>
      </w:pPr>
      <w:r>
        <w:rPr>
          <w:sz w:val="22"/>
          <w:szCs w:val="22"/>
        </w:rPr>
        <w:t xml:space="preserve">What is the overall default rate, and how much money is at risk?</w:t>
      </w:r>
    </w:p>
    <w:p>
      <w:pPr>
        <w:pStyle w:val="ListParagraph"/>
        <w:numPr>
          <w:ilvl w:val="0"/>
          <w:numId w:val="3"/>
        </w:numPr>
        <w:spacing w:after="100" w:line="276"/>
      </w:pPr>
      <w:r>
        <w:rPr>
          <w:sz w:val="22"/>
          <w:szCs w:val="22"/>
        </w:rPr>
        <w:t xml:space="preserve">Which grades, loan purposes and income groups are riskiest?</w:t>
      </w:r>
    </w:p>
    <w:p>
      <w:pPr>
        <w:pStyle w:val="ListParagraph"/>
        <w:numPr>
          <w:ilvl w:val="0"/>
          <w:numId w:val="3"/>
        </w:numPr>
        <w:spacing w:after="100" w:line="276"/>
      </w:pPr>
      <w:r>
        <w:rPr>
          <w:sz w:val="22"/>
          <w:szCs w:val="22"/>
        </w:rPr>
        <w:t xml:space="preserve">How do debt burden, interest rate and past defaults relate to default?</w:t>
      </w:r>
    </w:p>
    <w:p>
      <w:pPr>
        <w:pStyle w:val="ListParagraph"/>
        <w:numPr>
          <w:ilvl w:val="0"/>
          <w:numId w:val="3"/>
        </w:numPr>
        <w:spacing w:after="100" w:line="276"/>
      </w:pPr>
      <w:r>
        <w:rPr>
          <w:sz w:val="22"/>
          <w:szCs w:val="22"/>
        </w:rPr>
        <w:t xml:space="preserve">Which combinations of borrower traits make up the highest-risk group?</w:t>
      </w:r>
    </w:p>
    <w:p>
      <w:pPr>
        <w:pStyle w:val="ListParagraph"/>
        <w:numPr>
          <w:ilvl w:val="0"/>
          <w:numId w:val="3"/>
        </w:numPr>
        <w:spacing w:after="100" w:line="276"/>
      </w:pPr>
      <w:r>
        <w:rPr>
          <w:sz w:val="22"/>
          <w:szCs w:val="22"/>
        </w:rPr>
        <w:t xml:space="preserve">Do interest rates reflect the risk?</w:t>
      </w:r>
    </w:p>
    <w:p>
      <w:pPr>
        <w:spacing w:after="160" w:line="288"/>
      </w:pPr>
      <w:r>
        <w:rPr>
          <w:sz w:val="22"/>
          <w:szCs w:val="22"/>
        </w:rPr>
        <w:t xml:space="preserve">I treated a bank risk manager as the reader of the dashboard. Page one gives the overall picture and page two explains the causes.</w:t>
      </w:r>
    </w:p>
    <w:p>
      <w:pPr>
        <w:keepNext/>
        <w:spacing w:after="120" w:line="288"/>
      </w:pPr>
      <w:r>
        <w:rPr>
          <w:sz w:val="22"/>
          <w:szCs w:val="22"/>
        </w:rPr>
        <w:t xml:space="preserve">A few terms used throughout: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left"/>
            </w:pPr>
            <w:r>
              <w:rPr>
                <w:b/>
                <w:bCs/>
                <w:color w:val="FFFFFF"/>
                <w:sz w:val="20"/>
                <w:szCs w:val="20"/>
              </w:rPr>
              <w:t xml:space="preserve">Term</w:t>
            </w:r>
          </w:p>
        </w:tc>
        <w:tc>
          <w:tcPr>
            <w:tcW w:type="dxa" w:w="6826"/>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left"/>
            </w:pPr>
            <w:r>
              <w:rPr>
                <w:b/>
                <w:bCs/>
                <w:color w:val="FFFFFF"/>
                <w:sz w:val="20"/>
                <w:szCs w:val="20"/>
              </w:rPr>
              <w:t xml:space="preserve">Meaning here</w:t>
            </w:r>
          </w:p>
        </w:tc>
      </w:tr>
      <w:tr>
        <w:trPr>
          <w:cantSplit/>
        </w:trPr>
        <w:tc>
          <w:tcPr>
            <w:tcW w:type="dxa" w:w="22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Default</w:t>
            </w:r>
          </w:p>
        </w:tc>
        <w:tc>
          <w:tcPr>
            <w:tcW w:type="dxa" w:w="68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The borrower stopped repaying (loan_status = 1)</w:t>
            </w:r>
          </w:p>
        </w:tc>
      </w:tr>
      <w:tr>
        <w:trPr>
          <w:cantSplit/>
        </w:trPr>
        <w:tc>
          <w:tcPr>
            <w:tcW w:type="dxa" w:w="22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Default rate</w:t>
            </w:r>
          </w:p>
        </w:tc>
        <w:tc>
          <w:tcPr>
            <w:tcW w:type="dxa" w:w="68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Share of loans that defaulted</w:t>
            </w:r>
          </w:p>
        </w:tc>
      </w:tr>
      <w:tr>
        <w:trPr>
          <w:cantSplit/>
        </w:trPr>
        <w:tc>
          <w:tcPr>
            <w:tcW w:type="dxa" w:w="22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Exposure</w:t>
            </w:r>
          </w:p>
        </w:tc>
        <w:tc>
          <w:tcPr>
            <w:tcW w:type="dxa" w:w="68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Total money lent, the sum of loan amounts</w:t>
            </w:r>
          </w:p>
        </w:tc>
      </w:tr>
      <w:tr>
        <w:trPr>
          <w:cantSplit/>
        </w:trPr>
        <w:tc>
          <w:tcPr>
            <w:tcW w:type="dxa" w:w="22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Debt burden</w:t>
            </w:r>
          </w:p>
        </w:tc>
        <w:tc>
          <w:tcPr>
            <w:tcW w:type="dxa" w:w="68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Loan amount as a share of yearly income (loan_percent_income)</w:t>
            </w:r>
          </w:p>
        </w:tc>
      </w:tr>
      <w:tr>
        <w:trPr>
          <w:cantSplit/>
        </w:trPr>
        <w:tc>
          <w:tcPr>
            <w:tcW w:type="dxa" w:w="22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Credit grade</w:t>
            </w:r>
          </w:p>
        </w:tc>
        <w:tc>
          <w:tcPr>
            <w:tcW w:type="dxa" w:w="68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The bank's rating of the borrower, A (safest) to G (riskiest)</w:t>
            </w:r>
          </w:p>
        </w:tc>
      </w:tr>
    </w:tbl>
    <w:p>
      <w:pPr>
        <w:pStyle w:val="Heading1"/>
      </w:pPr>
      <w:r>
        <w:t xml:space="preserve">2. The Data</w:t>
      </w:r>
    </w:p>
    <w:p>
      <w:pPr>
        <w:spacing w:after="120" w:line="288"/>
      </w:pPr>
      <w:r>
        <w:rPr>
          <w:sz w:val="22"/>
          <w:szCs w:val="22"/>
        </w:rPr>
        <w:t xml:space="preserve">I first looked at the Lending Club data, but it has around 2 million rows and over 100 columns, which was too much for a first dashboard. I switched to the Credit Risk Dataset on Kaggle. It has 32,581 rows and 12 columns, and it already includes a default column, so I could spend my time on cleaning and analysis.</w:t>
      </w:r>
    </w:p>
    <w:p>
      <w:pPr>
        <w:keepNext/>
        <w:spacing w:after="120" w:line="288"/>
      </w:pPr>
      <w:r>
        <w:rPr>
          <w:sz w:val="22"/>
          <w:szCs w:val="22"/>
        </w:rPr>
        <w:t xml:space="preserve">In the raw data 21.8% of loans were defaults. That is about four repaid loans for every default, which is normal for lending, but it means percentages are more useful than raw counts when comparing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4226"/>
        <w:gridCol w:w="1700"/>
      </w:tblGrid>
      <w:tr>
        <w:trPr>
          <w:tblHeader/>
        </w:trPr>
        <w:tc>
          <w:tcPr>
            <w:tcW w:type="dxa" w:w="31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left"/>
            </w:pPr>
            <w:r>
              <w:rPr>
                <w:b/>
                <w:bCs/>
                <w:color w:val="FFFFFF"/>
                <w:sz w:val="20"/>
                <w:szCs w:val="20"/>
              </w:rPr>
              <w:t xml:space="preserve">Column</w:t>
            </w:r>
          </w:p>
        </w:tc>
        <w:tc>
          <w:tcPr>
            <w:tcW w:type="dxa" w:w="4226"/>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left"/>
            </w:pPr>
            <w:r>
              <w:rPr>
                <w:b/>
                <w:bCs/>
                <w:color w:val="FFFFFF"/>
                <w:sz w:val="20"/>
                <w:szCs w:val="20"/>
              </w:rPr>
              <w:t xml:space="preserve">Description</w:t>
            </w:r>
          </w:p>
        </w:tc>
        <w:tc>
          <w:tcPr>
            <w:tcW w:type="dxa" w:w="17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left"/>
            </w:pPr>
            <w:r>
              <w:rPr>
                <w:b/>
                <w:bCs/>
                <w:color w:val="FFFFFF"/>
                <w:sz w:val="20"/>
                <w:szCs w:val="20"/>
              </w:rPr>
              <w:t xml:space="preserve">Type</w:t>
            </w:r>
          </w:p>
        </w:tc>
      </w:tr>
      <w:tr>
        <w:trPr>
          <w:cantSplit/>
        </w:trPr>
        <w:tc>
          <w:tcPr>
            <w:tcW w:type="dxa" w:w="31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person_age</w:t>
            </w:r>
          </w:p>
        </w:tc>
        <w:tc>
          <w:tcPr>
            <w:tcW w:type="dxa" w:w="42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Borrower age</w:t>
            </w:r>
          </w:p>
        </w:tc>
        <w:tc>
          <w:tcPr>
            <w:tcW w:type="dxa" w:w="17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Numeric</w:t>
            </w:r>
          </w:p>
        </w:tc>
      </w:tr>
      <w:tr>
        <w:trPr>
          <w:cantSplit/>
        </w:trPr>
        <w:tc>
          <w:tcPr>
            <w:tcW w:type="dxa" w:w="31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person_income</w:t>
            </w:r>
          </w:p>
        </w:tc>
        <w:tc>
          <w:tcPr>
            <w:tcW w:type="dxa" w:w="42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Yearly income</w:t>
            </w:r>
          </w:p>
        </w:tc>
        <w:tc>
          <w:tcPr>
            <w:tcW w:type="dxa" w:w="17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Numeric</w:t>
            </w:r>
          </w:p>
        </w:tc>
      </w:tr>
      <w:tr>
        <w:trPr>
          <w:cantSplit/>
        </w:trPr>
        <w:tc>
          <w:tcPr>
            <w:tcW w:type="dxa" w:w="31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person_home_ownership</w:t>
            </w:r>
          </w:p>
        </w:tc>
        <w:tc>
          <w:tcPr>
            <w:tcW w:type="dxa" w:w="42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Rent / Mortgage / Own / Other</w:t>
            </w:r>
          </w:p>
        </w:tc>
        <w:tc>
          <w:tcPr>
            <w:tcW w:type="dxa" w:w="17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Category</w:t>
            </w:r>
          </w:p>
        </w:tc>
      </w:tr>
      <w:tr>
        <w:trPr>
          <w:cantSplit/>
        </w:trPr>
        <w:tc>
          <w:tcPr>
            <w:tcW w:type="dxa" w:w="31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person_emp_length</w:t>
            </w:r>
          </w:p>
        </w:tc>
        <w:tc>
          <w:tcPr>
            <w:tcW w:type="dxa" w:w="42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Years employed</w:t>
            </w:r>
          </w:p>
        </w:tc>
        <w:tc>
          <w:tcPr>
            <w:tcW w:type="dxa" w:w="17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Numeric</w:t>
            </w:r>
          </w:p>
        </w:tc>
      </w:tr>
      <w:tr>
        <w:trPr>
          <w:cantSplit/>
        </w:trPr>
        <w:tc>
          <w:tcPr>
            <w:tcW w:type="dxa" w:w="31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loan_intent</w:t>
            </w:r>
          </w:p>
        </w:tc>
        <w:tc>
          <w:tcPr>
            <w:tcW w:type="dxa" w:w="42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Loan purpose</w:t>
            </w:r>
          </w:p>
        </w:tc>
        <w:tc>
          <w:tcPr>
            <w:tcW w:type="dxa" w:w="17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Category</w:t>
            </w:r>
          </w:p>
        </w:tc>
      </w:tr>
      <w:tr>
        <w:trPr>
          <w:cantSplit/>
        </w:trPr>
        <w:tc>
          <w:tcPr>
            <w:tcW w:type="dxa" w:w="31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loan_grade</w:t>
            </w:r>
          </w:p>
        </w:tc>
        <w:tc>
          <w:tcPr>
            <w:tcW w:type="dxa" w:w="42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Credit grade A to G</w:t>
            </w:r>
          </w:p>
        </w:tc>
        <w:tc>
          <w:tcPr>
            <w:tcW w:type="dxa" w:w="17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Category</w:t>
            </w:r>
          </w:p>
        </w:tc>
      </w:tr>
      <w:tr>
        <w:trPr>
          <w:cantSplit/>
        </w:trPr>
        <w:tc>
          <w:tcPr>
            <w:tcW w:type="dxa" w:w="31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loan_amnt</w:t>
            </w:r>
          </w:p>
        </w:tc>
        <w:tc>
          <w:tcPr>
            <w:tcW w:type="dxa" w:w="42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Loan amount</w:t>
            </w:r>
          </w:p>
        </w:tc>
        <w:tc>
          <w:tcPr>
            <w:tcW w:type="dxa" w:w="17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Numeric</w:t>
            </w:r>
          </w:p>
        </w:tc>
      </w:tr>
      <w:tr>
        <w:trPr>
          <w:cantSplit/>
        </w:trPr>
        <w:tc>
          <w:tcPr>
            <w:tcW w:type="dxa" w:w="31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loan_int_rate</w:t>
            </w:r>
          </w:p>
        </w:tc>
        <w:tc>
          <w:tcPr>
            <w:tcW w:type="dxa" w:w="42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Interest rate (%)</w:t>
            </w:r>
          </w:p>
        </w:tc>
        <w:tc>
          <w:tcPr>
            <w:tcW w:type="dxa" w:w="17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Numeric</w:t>
            </w:r>
          </w:p>
        </w:tc>
      </w:tr>
      <w:tr>
        <w:trPr>
          <w:cantSplit/>
        </w:trPr>
        <w:tc>
          <w:tcPr>
            <w:tcW w:type="dxa" w:w="31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loan_status</w:t>
            </w:r>
          </w:p>
        </w:tc>
        <w:tc>
          <w:tcPr>
            <w:tcW w:type="dxa" w:w="42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Target: 0 = repaid, 1 = default</w:t>
            </w:r>
          </w:p>
        </w:tc>
        <w:tc>
          <w:tcPr>
            <w:tcW w:type="dxa" w:w="17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Binary</w:t>
            </w:r>
          </w:p>
        </w:tc>
      </w:tr>
      <w:tr>
        <w:trPr>
          <w:cantSplit/>
        </w:trPr>
        <w:tc>
          <w:tcPr>
            <w:tcW w:type="dxa" w:w="31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loan_percent_income</w:t>
            </w:r>
          </w:p>
        </w:tc>
        <w:tc>
          <w:tcPr>
            <w:tcW w:type="dxa" w:w="42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Loan as a share of income</w:t>
            </w:r>
          </w:p>
        </w:tc>
        <w:tc>
          <w:tcPr>
            <w:tcW w:type="dxa" w:w="17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Numeric</w:t>
            </w:r>
          </w:p>
        </w:tc>
      </w:tr>
      <w:tr>
        <w:trPr>
          <w:cantSplit/>
        </w:trPr>
        <w:tc>
          <w:tcPr>
            <w:tcW w:type="dxa" w:w="31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cb_person_default_on_file</w:t>
            </w:r>
          </w:p>
        </w:tc>
        <w:tc>
          <w:tcPr>
            <w:tcW w:type="dxa" w:w="42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Past default on record (Y/N)</w:t>
            </w:r>
          </w:p>
        </w:tc>
        <w:tc>
          <w:tcPr>
            <w:tcW w:type="dxa" w:w="17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Category</w:t>
            </w:r>
          </w:p>
        </w:tc>
      </w:tr>
      <w:tr>
        <w:trPr>
          <w:cantSplit/>
        </w:trPr>
        <w:tc>
          <w:tcPr>
            <w:tcW w:type="dxa" w:w="31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cb_person_cred_hist_length</w:t>
            </w:r>
          </w:p>
        </w:tc>
        <w:tc>
          <w:tcPr>
            <w:tcW w:type="dxa" w:w="42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Years of credit history</w:t>
            </w:r>
          </w:p>
        </w:tc>
        <w:tc>
          <w:tcPr>
            <w:tcW w:type="dxa" w:w="17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Numeric</w:t>
            </w:r>
          </w:p>
        </w:tc>
      </w:tr>
    </w:tbl>
    <w:p>
      <w:pPr>
        <w:pStyle w:val="Heading1"/>
      </w:pPr>
      <w:r>
        <w:t xml:space="preserve">3. Cleaning the Data</w:t>
      </w:r>
    </w:p>
    <w:p>
      <w:pPr>
        <w:keepNext/>
        <w:spacing w:after="120" w:line="288"/>
      </w:pPr>
      <w:r>
        <w:rPr>
          <w:sz w:val="22"/>
          <w:szCs w:val="22"/>
        </w:rPr>
        <w:t xml:space="preserve">I worked on a copy of the data so the original stayed untouched, and I wrote down the row count after every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426"/>
        <w:gridCol w:w="1300"/>
        <w:gridCol w:w="1200"/>
        <w:gridCol w:w="1400"/>
      </w:tblGrid>
      <w:tr>
        <w:trPr>
          <w:tblHeader/>
        </w:trPr>
        <w:tc>
          <w:tcPr>
            <w:tcW w:type="dxa" w:w="7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keepNext/>
              <w:jc w:val="left"/>
            </w:pPr>
            <w:r>
              <w:rPr>
                <w:b/>
                <w:bCs/>
                <w:color w:val="FFFFFF"/>
                <w:sz w:val="20"/>
                <w:szCs w:val="20"/>
              </w:rPr>
              <w:t xml:space="preserve">Step</w:t>
            </w:r>
          </w:p>
        </w:tc>
        <w:tc>
          <w:tcPr>
            <w:tcW w:type="dxa" w:w="4426"/>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keepNext/>
              <w:jc w:val="left"/>
            </w:pPr>
            <w:r>
              <w:rPr>
                <w:b/>
                <w:bCs/>
                <w:color w:val="FFFFFF"/>
                <w:sz w:val="20"/>
                <w:szCs w:val="20"/>
              </w:rPr>
              <w:t xml:space="preserve">Action</w:t>
            </w:r>
          </w:p>
        </w:tc>
        <w:tc>
          <w:tcPr>
            <w:tcW w:type="dxa" w:w="13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keepNext/>
              <w:jc w:val="center"/>
            </w:pPr>
            <w:r>
              <w:rPr>
                <w:b/>
                <w:bCs/>
                <w:color w:val="FFFFFF"/>
                <w:sz w:val="20"/>
                <w:szCs w:val="20"/>
              </w:rPr>
              <w:t xml:space="preserve">Rows before</w:t>
            </w:r>
          </w:p>
        </w:tc>
        <w:tc>
          <w:tcPr>
            <w:tcW w:type="dxa" w:w="12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keepNext/>
              <w:jc w:val="center"/>
            </w:pPr>
            <w:r>
              <w:rPr>
                <w:b/>
                <w:bCs/>
                <w:color w:val="FFFFFF"/>
                <w:sz w:val="20"/>
                <w:szCs w:val="20"/>
              </w:rPr>
              <w:t xml:space="preserve">Removed</w:t>
            </w:r>
          </w:p>
        </w:tc>
        <w:tc>
          <w:tcPr>
            <w:tcW w:type="dxa" w:w="14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keepNext/>
              <w:jc w:val="center"/>
            </w:pPr>
            <w:r>
              <w:rPr>
                <w:b/>
                <w:bCs/>
                <w:color w:val="FFFFFF"/>
                <w:sz w:val="20"/>
                <w:szCs w:val="20"/>
              </w:rPr>
              <w:t xml:space="preserve">Rows after</w:t>
            </w:r>
          </w:p>
        </w:tc>
      </w:tr>
      <w:tr>
        <w:trPr>
          <w:cantSplit/>
        </w:trPr>
        <w:tc>
          <w:tcPr>
            <w:tcW w:type="dxa" w:w="7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keepNext/>
              <w:jc w:val="left"/>
            </w:pPr>
            <w:r>
              <w:rPr>
                <w:sz w:val="20"/>
                <w:szCs w:val="20"/>
              </w:rPr>
              <w:t xml:space="preserve">1</w:t>
            </w:r>
          </w:p>
        </w:tc>
        <w:tc>
          <w:tcPr>
            <w:tcW w:type="dxa" w:w="44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keepNext/>
              <w:jc w:val="left"/>
            </w:pPr>
            <w:r>
              <w:rPr>
                <w:sz w:val="20"/>
                <w:szCs w:val="20"/>
              </w:rPr>
              <w:t xml:space="preserve">Load raw data</w:t>
            </w:r>
          </w:p>
        </w:tc>
        <w:tc>
          <w:tcPr>
            <w:tcW w:type="dxa" w:w="13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keepNext/>
              <w:jc w:val="center"/>
            </w:pPr>
            <w:r>
              <w:rPr>
                <w:sz w:val="20"/>
                <w:szCs w:val="20"/>
              </w:rPr>
              <w:t xml:space="preserve">32,581</w:t>
            </w:r>
          </w:p>
        </w:tc>
        <w:tc>
          <w:tcPr>
            <w:tcW w:type="dxa" w:w="12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keepNext/>
              <w:jc w:val="center"/>
            </w:pPr>
            <w:r>
              <w:rPr>
                <w:sz w:val="20"/>
                <w:szCs w:val="20"/>
              </w:rPr>
              <w:t xml:space="preserve">0</w:t>
            </w:r>
          </w:p>
        </w:tc>
        <w:tc>
          <w:tcPr>
            <w:tcW w:type="dxa" w:w="14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keepNext/>
              <w:jc w:val="center"/>
            </w:pPr>
            <w:r>
              <w:rPr>
                <w:sz w:val="20"/>
                <w:szCs w:val="20"/>
              </w:rPr>
              <w:t xml:space="preserve">32,581</w:t>
            </w:r>
          </w:p>
        </w:tc>
      </w:tr>
      <w:tr>
        <w:trPr>
          <w:cantSplit/>
        </w:trPr>
        <w:tc>
          <w:tcPr>
            <w:tcW w:type="dxa" w:w="7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keepNext/>
              <w:jc w:val="left"/>
            </w:pPr>
            <w:r>
              <w:rPr>
                <w:sz w:val="20"/>
                <w:szCs w:val="20"/>
              </w:rPr>
              <w:t xml:space="preserve">2</w:t>
            </w:r>
          </w:p>
        </w:tc>
        <w:tc>
          <w:tcPr>
            <w:tcW w:type="dxa" w:w="44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keepNext/>
              <w:jc w:val="left"/>
            </w:pPr>
            <w:r>
              <w:rPr>
                <w:sz w:val="20"/>
                <w:szCs w:val="20"/>
              </w:rPr>
              <w:t xml:space="preserve">Remove exact duplicate rows</w:t>
            </w:r>
          </w:p>
        </w:tc>
        <w:tc>
          <w:tcPr>
            <w:tcW w:type="dxa" w:w="13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keepNext/>
              <w:jc w:val="center"/>
            </w:pPr>
            <w:r>
              <w:rPr>
                <w:sz w:val="20"/>
                <w:szCs w:val="20"/>
              </w:rPr>
              <w:t xml:space="preserve">32,581</w:t>
            </w:r>
          </w:p>
        </w:tc>
        <w:tc>
          <w:tcPr>
            <w:tcW w:type="dxa" w:w="12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keepNext/>
              <w:jc w:val="center"/>
            </w:pPr>
            <w:r>
              <w:rPr>
                <w:sz w:val="20"/>
                <w:szCs w:val="20"/>
              </w:rPr>
              <w:t xml:space="preserve">165</w:t>
            </w:r>
          </w:p>
        </w:tc>
        <w:tc>
          <w:tcPr>
            <w:tcW w:type="dxa" w:w="14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keepNext/>
              <w:jc w:val="center"/>
            </w:pPr>
            <w:r>
              <w:rPr>
                <w:sz w:val="20"/>
                <w:szCs w:val="20"/>
              </w:rPr>
              <w:t xml:space="preserve">32,416</w:t>
            </w:r>
          </w:p>
        </w:tc>
      </w:tr>
      <w:tr>
        <w:trPr>
          <w:cantSplit/>
        </w:trPr>
        <w:tc>
          <w:tcPr>
            <w:tcW w:type="dxa" w:w="7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keepNext/>
              <w:jc w:val="left"/>
            </w:pPr>
            <w:r>
              <w:rPr>
                <w:sz w:val="20"/>
                <w:szCs w:val="20"/>
              </w:rPr>
              <w:t xml:space="preserve">3</w:t>
            </w:r>
          </w:p>
        </w:tc>
        <w:tc>
          <w:tcPr>
            <w:tcW w:type="dxa" w:w="44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keepNext/>
              <w:jc w:val="left"/>
            </w:pPr>
            <w:r>
              <w:rPr>
                <w:sz w:val="20"/>
                <w:szCs w:val="20"/>
              </w:rPr>
              <w:t xml:space="preserve">Remove impossible values (age over 100, employment over 60 years)</w:t>
            </w:r>
          </w:p>
        </w:tc>
        <w:tc>
          <w:tcPr>
            <w:tcW w:type="dxa" w:w="13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keepNext/>
              <w:jc w:val="center"/>
            </w:pPr>
            <w:r>
              <w:rPr>
                <w:sz w:val="20"/>
                <w:szCs w:val="20"/>
              </w:rPr>
              <w:t xml:space="preserve">32,416</w:t>
            </w:r>
          </w:p>
        </w:tc>
        <w:tc>
          <w:tcPr>
            <w:tcW w:type="dxa" w:w="12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keepNext/>
              <w:jc w:val="center"/>
            </w:pPr>
            <w:r>
              <w:rPr>
                <w:sz w:val="20"/>
                <w:szCs w:val="20"/>
              </w:rPr>
              <w:t xml:space="preserve">7</w:t>
            </w:r>
          </w:p>
        </w:tc>
        <w:tc>
          <w:tcPr>
            <w:tcW w:type="dxa" w:w="14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keepNext/>
              <w:jc w:val="center"/>
            </w:pPr>
            <w:r>
              <w:rPr>
                <w:sz w:val="20"/>
                <w:szCs w:val="20"/>
              </w:rPr>
              <w:t xml:space="preserve">32,409</w:t>
            </w:r>
          </w:p>
        </w:tc>
      </w:tr>
      <w:tr>
        <w:trPr>
          <w:cantSplit/>
        </w:trPr>
        <w:tc>
          <w:tcPr>
            <w:tcW w:type="dxa" w:w="7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keepNext/>
              <w:jc w:val="left"/>
            </w:pPr>
            <w:r>
              <w:rPr>
                <w:sz w:val="20"/>
                <w:szCs w:val="20"/>
              </w:rPr>
              <w:t xml:space="preserve">4</w:t>
            </w:r>
          </w:p>
        </w:tc>
        <w:tc>
          <w:tcPr>
            <w:tcW w:type="dxa" w:w="44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keepNext/>
              <w:jc w:val="left"/>
            </w:pPr>
            <w:r>
              <w:rPr>
                <w:sz w:val="20"/>
                <w:szCs w:val="20"/>
              </w:rPr>
              <w:t xml:space="preserve">Fill missing employment length (895 in the raw data) and interest rate (3,116) with the median</w:t>
            </w:r>
          </w:p>
        </w:tc>
        <w:tc>
          <w:tcPr>
            <w:tcW w:type="dxa" w:w="13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keepNext/>
              <w:jc w:val="center"/>
            </w:pPr>
            <w:r>
              <w:rPr>
                <w:sz w:val="20"/>
                <w:szCs w:val="20"/>
              </w:rPr>
              <w:t xml:space="preserve">32,409</w:t>
            </w:r>
          </w:p>
        </w:tc>
        <w:tc>
          <w:tcPr>
            <w:tcW w:type="dxa" w:w="12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keepNext/>
              <w:jc w:val="center"/>
            </w:pPr>
            <w:r>
              <w:rPr>
                <w:sz w:val="20"/>
                <w:szCs w:val="20"/>
              </w:rPr>
              <w:t xml:space="preserve">0</w:t>
            </w:r>
          </w:p>
        </w:tc>
        <w:tc>
          <w:tcPr>
            <w:tcW w:type="dxa" w:w="14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keepNext/>
              <w:jc w:val="center"/>
            </w:pPr>
            <w:r>
              <w:rPr>
                <w:sz w:val="20"/>
                <w:szCs w:val="20"/>
              </w:rPr>
              <w:t xml:space="preserve">32,409</w:t>
            </w:r>
          </w:p>
        </w:tc>
      </w:tr>
      <w:tr>
        <w:trPr>
          <w:cantSplit/>
        </w:trPr>
        <w:tc>
          <w:tcPr>
            <w:tcW w:type="dxa" w:w="7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keepNext/>
              <w:jc w:val="left"/>
            </w:pPr>
            <w:r>
              <w:rPr>
                <w:sz w:val="20"/>
                <w:szCs w:val="20"/>
              </w:rPr>
              <w:t xml:space="preserve">5</w:t>
            </w:r>
          </w:p>
        </w:tc>
        <w:tc>
          <w:tcPr>
            <w:tcW w:type="dxa" w:w="44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keepNext/>
              <w:jc w:val="left"/>
            </w:pPr>
            <w:r>
              <w:rPr>
                <w:sz w:val="20"/>
                <w:szCs w:val="20"/>
              </w:rPr>
              <w:t xml:space="preserve">Cap very high incomes at the 99th percentile (225,000) in a new column</w:t>
            </w:r>
          </w:p>
        </w:tc>
        <w:tc>
          <w:tcPr>
            <w:tcW w:type="dxa" w:w="13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keepNext/>
              <w:jc w:val="center"/>
            </w:pPr>
            <w:r>
              <w:rPr>
                <w:sz w:val="20"/>
                <w:szCs w:val="20"/>
              </w:rPr>
              <w:t xml:space="preserve">32,409</w:t>
            </w:r>
          </w:p>
        </w:tc>
        <w:tc>
          <w:tcPr>
            <w:tcW w:type="dxa" w:w="12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keepNext/>
              <w:jc w:val="center"/>
            </w:pPr>
            <w:r>
              <w:rPr>
                <w:sz w:val="20"/>
                <w:szCs w:val="20"/>
              </w:rPr>
              <w:t xml:space="preserve">0</w:t>
            </w:r>
          </w:p>
        </w:tc>
        <w:tc>
          <w:tcPr>
            <w:tcW w:type="dxa" w:w="14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keepNext/>
              <w:jc w:val="center"/>
            </w:pPr>
            <w:r>
              <w:rPr>
                <w:sz w:val="20"/>
                <w:szCs w:val="20"/>
              </w:rPr>
              <w:t xml:space="preserve">32,409</w:t>
            </w:r>
          </w:p>
        </w:tc>
      </w:tr>
      <w:tr>
        <w:trPr>
          <w:cantSplit/>
        </w:trPr>
        <w:tc>
          <w:tcPr>
            <w:tcW w:type="dxa" w:w="7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keepNext w:val="false"/>
              <w:jc w:val="left"/>
            </w:pPr>
            <w:r>
              <w:rPr>
                <w:sz w:val="20"/>
                <w:szCs w:val="20"/>
              </w:rPr>
              <w:t xml:space="preserve">6</w:t>
            </w:r>
          </w:p>
        </w:tc>
        <w:tc>
          <w:tcPr>
            <w:tcW w:type="dxa" w:w="44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keepNext w:val="false"/>
              <w:jc w:val="left"/>
            </w:pPr>
            <w:r>
              <w:rPr>
                <w:sz w:val="20"/>
                <w:szCs w:val="20"/>
              </w:rPr>
              <w:t xml:space="preserve">Tidy text labels and create banded columns</w:t>
            </w:r>
          </w:p>
        </w:tc>
        <w:tc>
          <w:tcPr>
            <w:tcW w:type="dxa" w:w="13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keepNext w:val="false"/>
              <w:jc w:val="center"/>
            </w:pPr>
            <w:r>
              <w:rPr>
                <w:sz w:val="20"/>
                <w:szCs w:val="20"/>
              </w:rPr>
              <w:t xml:space="preserve">32,409</w:t>
            </w:r>
          </w:p>
        </w:tc>
        <w:tc>
          <w:tcPr>
            <w:tcW w:type="dxa" w:w="12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keepNext w:val="false"/>
              <w:jc w:val="center"/>
            </w:pPr>
            <w:r>
              <w:rPr>
                <w:sz w:val="20"/>
                <w:szCs w:val="20"/>
              </w:rPr>
              <w:t xml:space="preserve">0</w:t>
            </w:r>
          </w:p>
        </w:tc>
        <w:tc>
          <w:tcPr>
            <w:tcW w:type="dxa" w:w="14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keepNext w:val="false"/>
              <w:jc w:val="center"/>
            </w:pPr>
            <w:r>
              <w:rPr>
                <w:sz w:val="20"/>
                <w:szCs w:val="20"/>
              </w:rPr>
              <w:t xml:space="preserve">32,409</w:t>
            </w:r>
          </w:p>
        </w:tc>
      </w:tr>
    </w:tbl>
    <w:p>
      <w:pPr>
        <w:spacing w:after="100"/>
      </w:pPr>
    </w:p>
    <w:p>
      <w:pPr>
        <w:spacing w:after="120" w:line="288"/>
      </w:pPr>
      <w:r>
        <w:rPr>
          <w:sz w:val="22"/>
          <w:szCs w:val="22"/>
        </w:rPr>
        <w:t xml:space="preserve">Altogether I removed 172 rows, about 0.5% of the data.</w:t>
      </w:r>
    </w:p>
    <w:p>
      <w:pPr>
        <w:spacing w:after="120" w:line="288"/>
      </w:pPr>
      <w:r>
        <w:rPr>
          <w:sz w:val="22"/>
          <w:szCs w:val="22"/>
        </w:rPr>
        <w:t xml:space="preserve">Running describe() showed the problems quickly: a maximum age of 144, a maximum employment length of 123 years, and a maximum income of 6 million. The first two are clearly errors, so I deleted those rows. The income was different. Fifty-one borrowers earned more than 500K, and while that is unusual, it is possible. Deleting real customers would throw away real information, so I kept them and added a second column with income capped at 225,000. That way the original numbers are still there, and the charts are not stretched by a handful of very high earners.</w:t>
      </w:r>
    </w:p>
    <w:p>
      <w:pPr>
        <w:spacing w:after="120" w:line="288"/>
      </w:pPr>
      <w:r>
        <w:rPr>
          <w:sz w:val="22"/>
          <w:szCs w:val="22"/>
        </w:rPr>
        <w:t xml:space="preserve">For the missing values I used the median instead of the mean, because extreme values pull the mean up or down while the median stays steady. The text columns had no spelling problems, so I only changed labels to make them readable in charts (for example DEBTCONSOLIDATION became Debt Consolidation).</w:t>
      </w:r>
    </w:p>
    <w:p>
      <w:pPr>
        <w:pStyle w:val="Heading1"/>
      </w:pPr>
      <w:r>
        <w:t xml:space="preserve">4. New Columns</w:t>
      </w:r>
    </w:p>
    <w:p>
      <w:pPr>
        <w:keepNext/>
        <w:spacing w:after="120" w:line="288"/>
      </w:pPr>
      <w:r>
        <w:rPr>
          <w:sz w:val="22"/>
          <w:szCs w:val="22"/>
        </w:rPr>
        <w:t xml:space="preserve">Exact values like age 27 are too detailed for a dashboard, so I grouped borrowers into bands. I also added number columns that tell Power BI what order the bands go in, because otherwise it sorts them alphabetically.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left"/>
            </w:pPr>
            <w:r>
              <w:rPr>
                <w:b/>
                <w:bCs/>
                <w:color w:val="FFFFFF"/>
                <w:sz w:val="20"/>
                <w:szCs w:val="20"/>
              </w:rPr>
              <w:t xml:space="preserve">New column</w:t>
            </w:r>
          </w:p>
        </w:tc>
        <w:tc>
          <w:tcPr>
            <w:tcW w:type="dxa" w:w="6626"/>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left"/>
            </w:pPr>
            <w:r>
              <w:rPr>
                <w:b/>
                <w:bCs/>
                <w:color w:val="FFFFFF"/>
                <w:sz w:val="20"/>
                <w:szCs w:val="20"/>
              </w:rPr>
              <w:t xml:space="preserve">How it is built</w:t>
            </w:r>
          </w:p>
        </w:tc>
      </w:tr>
      <w:tr>
        <w:trPr>
          <w:cantSplit/>
        </w:trPr>
        <w:tc>
          <w:tcPr>
            <w:tcW w:type="dxa" w:w="24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age_group</w:t>
            </w:r>
          </w:p>
        </w:tc>
        <w:tc>
          <w:tcPr>
            <w:tcW w:type="dxa" w:w="66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Up to 25, 26-30, 31-35, 36-45, 46+</w:t>
            </w:r>
          </w:p>
        </w:tc>
      </w:tr>
      <w:tr>
        <w:trPr>
          <w:cantSplit/>
        </w:trPr>
        <w:tc>
          <w:tcPr>
            <w:tcW w:type="dxa" w:w="24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income_band</w:t>
            </w:r>
          </w:p>
        </w:tc>
        <w:tc>
          <w:tcPr>
            <w:tcW w:type="dxa" w:w="66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Under 30K, 30-50K, 50-75K, 75-100K, Above 100K</w:t>
            </w:r>
          </w:p>
        </w:tc>
      </w:tr>
      <w:tr>
        <w:trPr>
          <w:cantSplit/>
        </w:trPr>
        <w:tc>
          <w:tcPr>
            <w:tcW w:type="dxa" w:w="24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loan_amount_band</w:t>
            </w:r>
          </w:p>
        </w:tc>
        <w:tc>
          <w:tcPr>
            <w:tcW w:type="dxa" w:w="66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Up to 5K, 5-10K, 10-15K, 15-20K, 20K+</w:t>
            </w:r>
          </w:p>
        </w:tc>
      </w:tr>
      <w:tr>
        <w:trPr>
          <w:cantSplit/>
        </w:trPr>
        <w:tc>
          <w:tcPr>
            <w:tcW w:type="dxa" w:w="24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burden_band</w:t>
            </w:r>
          </w:p>
        </w:tc>
        <w:tc>
          <w:tcPr>
            <w:tcW w:type="dxa" w:w="66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Low (under 10%), Moderate (10-20%), High (20-30%), Very High (30%+) of income</w:t>
            </w:r>
          </w:p>
        </w:tc>
      </w:tr>
      <w:tr>
        <w:trPr>
          <w:cantSplit/>
        </w:trPr>
        <w:tc>
          <w:tcPr>
            <w:tcW w:type="dxa" w:w="24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risk_bucket</w:t>
            </w:r>
          </w:p>
        </w:tc>
        <w:tc>
          <w:tcPr>
            <w:tcW w:type="dxa" w:w="66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Grades A-B = Low, C-D = Medium, E-G = High (this also fixes the tiny sample sizes of grades F and G)</w:t>
            </w:r>
          </w:p>
        </w:tc>
      </w:tr>
      <w:tr>
        <w:trPr>
          <w:cantSplit/>
        </w:trPr>
        <w:tc>
          <w:tcPr>
            <w:tcW w:type="dxa" w:w="24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loan_outcome</w:t>
            </w:r>
          </w:p>
        </w:tc>
        <w:tc>
          <w:tcPr>
            <w:tcW w:type="dxa" w:w="66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Repaid or Defaulted, as a readable label</w:t>
            </w:r>
          </w:p>
        </w:tc>
      </w:tr>
      <w:tr>
        <w:trPr>
          <w:cantSplit/>
        </w:trPr>
        <w:tc>
          <w:tcPr>
            <w:tcW w:type="dxa" w:w="24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income_capped</w:t>
            </w:r>
          </w:p>
        </w:tc>
        <w:tc>
          <w:tcPr>
            <w:tcW w:type="dxa" w:w="66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Income limited to 225,000</w:t>
            </w:r>
          </w:p>
        </w:tc>
      </w:tr>
    </w:tbl>
    <w:p>
      <w:pPr>
        <w:pStyle w:val="Heading1"/>
      </w:pPr>
      <w:r>
        <w:t xml:space="preserve">5. What the Data Shows</w:t>
      </w:r>
    </w:p>
    <w:p>
      <w:pPr>
        <w:pStyle w:val="Heading2"/>
      </w:pPr>
      <w:r>
        <w:t xml:space="preserve">5.1 Loan grade and interest rates</w:t>
      </w:r>
    </w:p>
    <w:p>
      <w:pPr>
        <w:keepNext/>
        <w:spacing w:after="120" w:line="288"/>
      </w:pPr>
      <w:r>
        <w:rPr>
          <w:sz w:val="22"/>
          <w:szCs w:val="22"/>
        </w:rPr>
        <w:t xml:space="preserve">Default rises with grade, but not in a smooth line. Between grades C and D the default rate nearly triples, from 20.8% to 59.0%. Over the same step, the average interest rate goes up by less than two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000"/>
        <w:gridCol w:w="1000"/>
        <w:gridCol w:w="1000"/>
        <w:gridCol w:w="1050"/>
        <w:gridCol w:w="1050"/>
        <w:gridCol w:w="1050"/>
        <w:gridCol w:w="1050"/>
      </w:tblGrid>
      <w:tr>
        <w:trPr>
          <w:tblHeader/>
        </w:trPr>
        <w:tc>
          <w:tcPr>
            <w:tcW w:type="dxa" w:w="1826"/>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left"/>
            </w:pPr>
            <w:r>
              <w:rPr>
                <w:b/>
                <w:bCs/>
                <w:color w:val="FFFFFF"/>
                <w:sz w:val="20"/>
                <w:szCs w:val="20"/>
              </w:rPr>
              <w:t xml:space="preserve">Grade</w:t>
            </w:r>
          </w:p>
        </w:tc>
        <w:tc>
          <w:tcPr>
            <w:tcW w:type="dxa" w:w="10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center"/>
            </w:pPr>
            <w:r>
              <w:rPr>
                <w:b/>
                <w:bCs/>
                <w:color w:val="FFFFFF"/>
                <w:sz w:val="20"/>
                <w:szCs w:val="20"/>
              </w:rPr>
              <w:t xml:space="preserve">A</w:t>
            </w:r>
          </w:p>
        </w:tc>
        <w:tc>
          <w:tcPr>
            <w:tcW w:type="dxa" w:w="10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center"/>
            </w:pPr>
            <w:r>
              <w:rPr>
                <w:b/>
                <w:bCs/>
                <w:color w:val="FFFFFF"/>
                <w:sz w:val="20"/>
                <w:szCs w:val="20"/>
              </w:rPr>
              <w:t xml:space="preserve">B</w:t>
            </w:r>
          </w:p>
        </w:tc>
        <w:tc>
          <w:tcPr>
            <w:tcW w:type="dxa" w:w="10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center"/>
            </w:pPr>
            <w:r>
              <w:rPr>
                <w:b/>
                <w:bCs/>
                <w:color w:val="FFFFFF"/>
                <w:sz w:val="20"/>
                <w:szCs w:val="20"/>
              </w:rPr>
              <w:t xml:space="preserve">C</w:t>
            </w:r>
          </w:p>
        </w:tc>
        <w:tc>
          <w:tcPr>
            <w:tcW w:type="dxa" w:w="105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center"/>
            </w:pPr>
            <w:r>
              <w:rPr>
                <w:b/>
                <w:bCs/>
                <w:color w:val="FFFFFF"/>
                <w:sz w:val="20"/>
                <w:szCs w:val="20"/>
              </w:rPr>
              <w:t xml:space="preserve">D</w:t>
            </w:r>
          </w:p>
        </w:tc>
        <w:tc>
          <w:tcPr>
            <w:tcW w:type="dxa" w:w="105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center"/>
            </w:pPr>
            <w:r>
              <w:rPr>
                <w:b/>
                <w:bCs/>
                <w:color w:val="FFFFFF"/>
                <w:sz w:val="20"/>
                <w:szCs w:val="20"/>
              </w:rPr>
              <w:t xml:space="preserve">E</w:t>
            </w:r>
          </w:p>
        </w:tc>
        <w:tc>
          <w:tcPr>
            <w:tcW w:type="dxa" w:w="105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center"/>
            </w:pPr>
            <w:r>
              <w:rPr>
                <w:b/>
                <w:bCs/>
                <w:color w:val="FFFFFF"/>
                <w:sz w:val="20"/>
                <w:szCs w:val="20"/>
              </w:rPr>
              <w:t xml:space="preserve">F</w:t>
            </w:r>
          </w:p>
        </w:tc>
        <w:tc>
          <w:tcPr>
            <w:tcW w:type="dxa" w:w="105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center"/>
            </w:pPr>
            <w:r>
              <w:rPr>
                <w:b/>
                <w:bCs/>
                <w:color w:val="FFFFFF"/>
                <w:sz w:val="20"/>
                <w:szCs w:val="20"/>
              </w:rPr>
              <w:t xml:space="preserve">G</w:t>
            </w:r>
          </w:p>
        </w:tc>
      </w:tr>
      <w:tr>
        <w:trPr>
          <w:cantSplit/>
        </w:trPr>
        <w:tc>
          <w:tcPr>
            <w:tcW w:type="dxa" w:w="18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Default rate</w:t>
            </w:r>
          </w:p>
        </w:tc>
        <w:tc>
          <w:tcPr>
            <w:tcW w:type="dxa" w:w="10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sz w:val="20"/>
                <w:szCs w:val="20"/>
              </w:rPr>
              <w:t xml:space="preserve">10.0%</w:t>
            </w:r>
          </w:p>
        </w:tc>
        <w:tc>
          <w:tcPr>
            <w:tcW w:type="dxa" w:w="10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sz w:val="20"/>
                <w:szCs w:val="20"/>
              </w:rPr>
              <w:t xml:space="preserve">16.3%</w:t>
            </w:r>
          </w:p>
        </w:tc>
        <w:tc>
          <w:tcPr>
            <w:tcW w:type="dxa" w:w="10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sz w:val="20"/>
                <w:szCs w:val="20"/>
              </w:rPr>
              <w:t xml:space="preserve">20.8%</w:t>
            </w:r>
          </w:p>
        </w:tc>
        <w:tc>
          <w:tcPr>
            <w:tcW w:type="dxa" w:w="105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b/>
                <w:bCs/>
                <w:color w:val="E63946"/>
                <w:sz w:val="20"/>
                <w:szCs w:val="20"/>
              </w:rPr>
              <w:t xml:space="preserve">59.0%</w:t>
            </w:r>
          </w:p>
        </w:tc>
        <w:tc>
          <w:tcPr>
            <w:tcW w:type="dxa" w:w="105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b/>
                <w:bCs/>
                <w:color w:val="E63946"/>
                <w:sz w:val="20"/>
                <w:szCs w:val="20"/>
              </w:rPr>
              <w:t xml:space="preserve">64.5%</w:t>
            </w:r>
          </w:p>
        </w:tc>
        <w:tc>
          <w:tcPr>
            <w:tcW w:type="dxa" w:w="105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b/>
                <w:bCs/>
                <w:color w:val="E63946"/>
                <w:sz w:val="20"/>
                <w:szCs w:val="20"/>
              </w:rPr>
              <w:t xml:space="preserve">70.5%</w:t>
            </w:r>
          </w:p>
        </w:tc>
        <w:tc>
          <w:tcPr>
            <w:tcW w:type="dxa" w:w="105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b/>
                <w:bCs/>
                <w:color w:val="E63946"/>
                <w:sz w:val="20"/>
                <w:szCs w:val="20"/>
              </w:rPr>
              <w:t xml:space="preserve">98.4%</w:t>
            </w:r>
          </w:p>
        </w:tc>
      </w:tr>
      <w:tr>
        <w:trPr>
          <w:cantSplit/>
        </w:trPr>
        <w:tc>
          <w:tcPr>
            <w:tcW w:type="dxa" w:w="18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Avg interest rate</w:t>
            </w:r>
          </w:p>
        </w:tc>
        <w:tc>
          <w:tcPr>
            <w:tcW w:type="dxa" w:w="10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sz w:val="20"/>
                <w:szCs w:val="20"/>
              </w:rPr>
              <w:t xml:space="preserve">7.7%</w:t>
            </w:r>
          </w:p>
        </w:tc>
        <w:tc>
          <w:tcPr>
            <w:tcW w:type="dxa" w:w="10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sz w:val="20"/>
                <w:szCs w:val="20"/>
              </w:rPr>
              <w:t xml:space="preserve">11.0%</w:t>
            </w:r>
          </w:p>
        </w:tc>
        <w:tc>
          <w:tcPr>
            <w:tcW w:type="dxa" w:w="10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sz w:val="20"/>
                <w:szCs w:val="20"/>
              </w:rPr>
              <w:t xml:space="preserve">13.2%</w:t>
            </w:r>
          </w:p>
        </w:tc>
        <w:tc>
          <w:tcPr>
            <w:tcW w:type="dxa" w:w="105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sz w:val="20"/>
                <w:szCs w:val="20"/>
              </w:rPr>
              <w:t xml:space="preserve">15.0%</w:t>
            </w:r>
          </w:p>
        </w:tc>
        <w:tc>
          <w:tcPr>
            <w:tcW w:type="dxa" w:w="105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sz w:val="20"/>
                <w:szCs w:val="20"/>
              </w:rPr>
              <w:t xml:space="preserve">16.5%</w:t>
            </w:r>
          </w:p>
        </w:tc>
        <w:tc>
          <w:tcPr>
            <w:tcW w:type="dxa" w:w="105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sz w:val="20"/>
                <w:szCs w:val="20"/>
              </w:rPr>
              <w:t xml:space="preserve">17.8%</w:t>
            </w:r>
          </w:p>
        </w:tc>
        <w:tc>
          <w:tcPr>
            <w:tcW w:type="dxa" w:w="105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sz w:val="20"/>
                <w:szCs w:val="20"/>
              </w:rPr>
              <w:t xml:space="preserve">19.5%</w:t>
            </w:r>
          </w:p>
        </w:tc>
      </w:tr>
    </w:tbl>
    <w:p>
      <w:pPr>
        <w:spacing w:after="120" w:line="288"/>
      </w:pPr>
      <w:r>
        <w:rPr>
          <w:i/>
          <w:iCs/>
          <w:color w:val="6C757D"/>
          <w:sz w:val="19"/>
          <w:szCs w:val="19"/>
        </w:rPr>
        <w:t xml:space="preserve">Grade G is based on only 64 loans in the raw data, so I read the 98.4% as 'almost all of a small group defaulted'.</w:t>
      </w:r>
    </w:p>
    <w:p>
      <w:pPr>
        <w:pStyle w:val="Heading2"/>
      </w:pPr>
      <w:r>
        <w:t xml:space="preserve">5.2 Borrower and loan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26"/>
        <w:gridCol w:w="3600"/>
      </w:tblGrid>
      <w:tr>
        <w:trPr>
          <w:tblHeader/>
        </w:trPr>
        <w:tc>
          <w:tcPr>
            <w:tcW w:type="dxa" w:w="20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left"/>
            </w:pPr>
            <w:r>
              <w:rPr>
                <w:b/>
                <w:bCs/>
                <w:color w:val="FFFFFF"/>
                <w:sz w:val="20"/>
                <w:szCs w:val="20"/>
              </w:rPr>
              <w:t xml:space="preserve">Segment</w:t>
            </w:r>
          </w:p>
        </w:tc>
        <w:tc>
          <w:tcPr>
            <w:tcW w:type="dxa" w:w="3426"/>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left"/>
            </w:pPr>
            <w:r>
              <w:rPr>
                <w:b/>
                <w:bCs/>
                <w:color w:val="FFFFFF"/>
                <w:sz w:val="20"/>
                <w:szCs w:val="20"/>
              </w:rPr>
              <w:t xml:space="preserve">Group</w:t>
            </w:r>
          </w:p>
        </w:tc>
        <w:tc>
          <w:tcPr>
            <w:tcW w:type="dxa" w:w="36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left"/>
            </w:pPr>
            <w:r>
              <w:rPr>
                <w:b/>
                <w:bCs/>
                <w:color w:val="FFFFFF"/>
                <w:sz w:val="20"/>
                <w:szCs w:val="20"/>
              </w:rPr>
              <w:t xml:space="preserve">Default rate</w:t>
            </w:r>
          </w:p>
        </w:tc>
      </w:tr>
      <w:tr>
        <w:trPr>
          <w:cantSplit/>
        </w:trPr>
        <w:tc>
          <w:tcPr>
            <w:tcW w:type="dxa" w:w="20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Income band</w:t>
            </w:r>
          </w:p>
        </w:tc>
        <w:tc>
          <w:tcPr>
            <w:tcW w:type="dxa" w:w="34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Under 30K / 30-50K / 50-75K / 75-100K / Above 100K</w:t>
            </w:r>
          </w:p>
        </w:tc>
        <w:tc>
          <w:tcPr>
            <w:tcW w:type="dxa" w:w="36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45.6% / 25.7% / 17.6% / 11.0% / 9.6%</w:t>
            </w:r>
          </w:p>
        </w:tc>
      </w:tr>
      <w:tr>
        <w:trPr>
          <w:cantSplit/>
        </w:trPr>
        <w:tc>
          <w:tcPr>
            <w:tcW w:type="dxa" w:w="20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Debt burden</w:t>
            </w:r>
          </w:p>
        </w:tc>
        <w:tc>
          <w:tcPr>
            <w:tcW w:type="dxa" w:w="34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Low / Moderate / High / Very High</w:t>
            </w:r>
          </w:p>
        </w:tc>
        <w:tc>
          <w:tcPr>
            <w:tcW w:type="dxa" w:w="36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11.8% / 15.1% / 22.0% / 70.4%</w:t>
            </w:r>
          </w:p>
        </w:tc>
      </w:tr>
      <w:tr>
        <w:trPr>
          <w:cantSplit/>
        </w:trPr>
        <w:tc>
          <w:tcPr>
            <w:tcW w:type="dxa" w:w="20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Past default on file</w:t>
            </w:r>
          </w:p>
        </w:tc>
        <w:tc>
          <w:tcPr>
            <w:tcW w:type="dxa" w:w="34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Yes / No</w:t>
            </w:r>
          </w:p>
        </w:tc>
        <w:tc>
          <w:tcPr>
            <w:tcW w:type="dxa" w:w="36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37.9% / 18.4%</w:t>
            </w:r>
          </w:p>
        </w:tc>
      </w:tr>
      <w:tr>
        <w:trPr>
          <w:cantSplit/>
        </w:trPr>
        <w:tc>
          <w:tcPr>
            <w:tcW w:type="dxa" w:w="20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Home ownership</w:t>
            </w:r>
          </w:p>
        </w:tc>
        <w:tc>
          <w:tcPr>
            <w:tcW w:type="dxa" w:w="34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Rent / Other / Mortgage / Own</w:t>
            </w:r>
          </w:p>
        </w:tc>
        <w:tc>
          <w:tcPr>
            <w:tcW w:type="dxa" w:w="36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31.6% / 31.1% / 12.6% / 7.5%</w:t>
            </w:r>
          </w:p>
        </w:tc>
      </w:tr>
      <w:tr>
        <w:trPr>
          <w:cantSplit/>
        </w:trPr>
        <w:tc>
          <w:tcPr>
            <w:tcW w:type="dxa" w:w="20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Loan purpose</w:t>
            </w:r>
          </w:p>
        </w:tc>
        <w:tc>
          <w:tcPr>
            <w:tcW w:type="dxa" w:w="34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Debt consolidation / Medical / Home improvement</w:t>
            </w:r>
          </w:p>
        </w:tc>
        <w:tc>
          <w:tcPr>
            <w:tcW w:type="dxa" w:w="36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28.7% / 26.8% / 26.2%</w:t>
            </w:r>
          </w:p>
        </w:tc>
      </w:tr>
      <w:tr>
        <w:trPr>
          <w:cantSplit/>
        </w:trPr>
        <w:tc>
          <w:tcPr>
            <w:tcW w:type="dxa" w:w="20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p>
        </w:tc>
        <w:tc>
          <w:tcPr>
            <w:tcW w:type="dxa" w:w="34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Personal / Education / Venture</w:t>
            </w:r>
          </w:p>
        </w:tc>
        <w:tc>
          <w:tcPr>
            <w:tcW w:type="dxa" w:w="36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19.9% / 17.3% / 14.9%</w:t>
            </w:r>
          </w:p>
        </w:tc>
      </w:tr>
      <w:tr>
        <w:trPr>
          <w:cantSplit/>
        </w:trPr>
        <w:tc>
          <w:tcPr>
            <w:tcW w:type="dxa" w:w="20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Age group</w:t>
            </w:r>
          </w:p>
        </w:tc>
        <w:tc>
          <w:tcPr>
            <w:tcW w:type="dxa" w:w="34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Up to 25 / 26-30 / 31-35 / 36-45 / 46+</w:t>
            </w:r>
          </w:p>
        </w:tc>
        <w:tc>
          <w:tcPr>
            <w:tcW w:type="dxa" w:w="36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23.1% / 20.9% / 20.2% / 20.7% / 22.3%</w:t>
            </w:r>
          </w:p>
        </w:tc>
      </w:tr>
    </w:tbl>
    <w:p>
      <w:pPr>
        <w:spacing w:after="100"/>
      </w:pPr>
    </w:p>
    <w:p>
      <w:pPr>
        <w:spacing w:after="120" w:line="288"/>
      </w:pPr>
      <w:r>
        <w:rPr>
          <w:sz w:val="22"/>
          <w:szCs w:val="22"/>
        </w:rPr>
        <w:t xml:space="preserve">People borrowing to consolidate debt or pay medical bills defaulted more than people borrowing for a venture or education, which fits the idea that financial pressure leads to missed payments. Renters defaulted about four times as often as owners. Age showed no real pattern.</w:t>
      </w:r>
    </w:p>
    <w:p>
      <w:pPr>
        <w:pStyle w:val="Heading2"/>
      </w:pPr>
      <w:r>
        <w:t xml:space="preserve">5.3 Correlation with default</w:t>
      </w:r>
    </w:p>
    <w:p>
      <w:pPr>
        <w:keepNext/>
        <w:spacing w:after="120" w:line="288"/>
      </w:pPr>
      <w:r>
        <w:rPr>
          <w:sz w:val="22"/>
          <w:szCs w:val="22"/>
        </w:rPr>
        <w:t xml:space="preserve">I used a correlation heatmap to check the numeric columns. Debt burden and interest rate came out on top, but none of the correlations are strong, so default seems to depend on several things together rather than any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left"/>
            </w:pPr>
            <w:r>
              <w:rPr>
                <w:b/>
                <w:bCs/>
                <w:color w:val="FFFFFF"/>
                <w:sz w:val="20"/>
                <w:szCs w:val="20"/>
              </w:rPr>
              <w:t xml:space="preserve">Variable</w:t>
            </w:r>
          </w:p>
        </w:tc>
        <w:tc>
          <w:tcPr>
            <w:tcW w:type="dxa" w:w="22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left"/>
            </w:pPr>
            <w:r>
              <w:rPr>
                <w:b/>
                <w:bCs/>
                <w:color w:val="FFFFFF"/>
                <w:sz w:val="20"/>
                <w:szCs w:val="20"/>
              </w:rPr>
              <w:t xml:space="preserve">Correlation with default</w:t>
            </w:r>
          </w:p>
        </w:tc>
        <w:tc>
          <w:tcPr>
            <w:tcW w:type="dxa" w:w="4226"/>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left"/>
            </w:pPr>
            <w:r>
              <w:rPr>
                <w:b/>
                <w:bCs/>
                <w:color w:val="FFFFFF"/>
                <w:sz w:val="20"/>
                <w:szCs w:val="20"/>
              </w:rPr>
              <w:t xml:space="preserve">Comment</w:t>
            </w:r>
          </w:p>
        </w:tc>
      </w:tr>
      <w:tr>
        <w:trPr>
          <w:cantSplit/>
        </w:trPr>
        <w:tc>
          <w:tcPr>
            <w:tcW w:type="dxa" w:w="26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loan_percent_income</w:t>
            </w:r>
          </w:p>
        </w:tc>
        <w:tc>
          <w:tcPr>
            <w:tcW w:type="dxa" w:w="22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+0.38</w:t>
            </w:r>
          </w:p>
        </w:tc>
        <w:tc>
          <w:tcPr>
            <w:tcW w:type="dxa" w:w="42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Strongest: bigger loan relative to income</w:t>
            </w:r>
          </w:p>
        </w:tc>
      </w:tr>
      <w:tr>
        <w:trPr>
          <w:cantSplit/>
        </w:trPr>
        <w:tc>
          <w:tcPr>
            <w:tcW w:type="dxa" w:w="26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loan_int_rate</w:t>
            </w:r>
          </w:p>
        </w:tc>
        <w:tc>
          <w:tcPr>
            <w:tcW w:type="dxa" w:w="22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+0.32</w:t>
            </w:r>
          </w:p>
        </w:tc>
        <w:tc>
          <w:tcPr>
            <w:tcW w:type="dxa" w:w="42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Higher rate goes with higher default</w:t>
            </w:r>
          </w:p>
        </w:tc>
      </w:tr>
      <w:tr>
        <w:trPr>
          <w:cantSplit/>
        </w:trPr>
        <w:tc>
          <w:tcPr>
            <w:tcW w:type="dxa" w:w="26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person_income</w:t>
            </w:r>
          </w:p>
        </w:tc>
        <w:tc>
          <w:tcPr>
            <w:tcW w:type="dxa" w:w="22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-0.17</w:t>
            </w:r>
          </w:p>
        </w:tc>
        <w:tc>
          <w:tcPr>
            <w:tcW w:type="dxa" w:w="42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Higher income goes with lower default</w:t>
            </w:r>
          </w:p>
        </w:tc>
      </w:tr>
      <w:tr>
        <w:trPr>
          <w:cantSplit/>
        </w:trPr>
        <w:tc>
          <w:tcPr>
            <w:tcW w:type="dxa" w:w="26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loan_amnt</w:t>
            </w:r>
          </w:p>
        </w:tc>
        <w:tc>
          <w:tcPr>
            <w:tcW w:type="dxa" w:w="22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+0.11</w:t>
            </w:r>
          </w:p>
        </w:tc>
        <w:tc>
          <w:tcPr>
            <w:tcW w:type="dxa" w:w="42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Weak</w:t>
            </w:r>
          </w:p>
        </w:tc>
      </w:tr>
      <w:tr>
        <w:trPr>
          <w:cantSplit/>
        </w:trPr>
        <w:tc>
          <w:tcPr>
            <w:tcW w:type="dxa" w:w="26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person_emp_length</w:t>
            </w:r>
          </w:p>
        </w:tc>
        <w:tc>
          <w:tcPr>
            <w:tcW w:type="dxa" w:w="22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-0.09</w:t>
            </w:r>
          </w:p>
        </w:tc>
        <w:tc>
          <w:tcPr>
            <w:tcW w:type="dxa" w:w="42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Weak</w:t>
            </w:r>
          </w:p>
        </w:tc>
      </w:tr>
      <w:tr>
        <w:trPr>
          <w:cantSplit/>
        </w:trPr>
        <w:tc>
          <w:tcPr>
            <w:tcW w:type="dxa" w:w="26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person_age</w:t>
            </w:r>
          </w:p>
        </w:tc>
        <w:tc>
          <w:tcPr>
            <w:tcW w:type="dxa" w:w="22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-0.02</w:t>
            </w:r>
          </w:p>
        </w:tc>
        <w:tc>
          <w:tcPr>
            <w:tcW w:type="dxa" w:w="42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None</w:t>
            </w:r>
          </w:p>
        </w:tc>
      </w:tr>
    </w:tbl>
    <w:p>
      <w:pPr>
        <w:spacing w:after="120" w:line="288"/>
      </w:pPr>
      <w:r>
        <w:rPr>
          <w:i/>
          <w:iCs/>
          <w:color w:val="6C757D"/>
          <w:sz w:val="19"/>
          <w:szCs w:val="19"/>
        </w:rPr>
        <w:t xml:space="preserve">Age and credit history length are closely related to each other (0.88), so they tell almost the same story.</w:t>
      </w:r>
    </w:p>
    <w:p>
      <w:pPr>
        <w:pStyle w:val="Heading2"/>
      </w:pPr>
      <w:r>
        <w:t xml:space="preserve">5.4 Income and debt burden together</w:t>
      </w:r>
    </w:p>
    <w:p>
      <w:pPr>
        <w:keepNext/>
        <w:spacing w:after="120" w:line="288"/>
      </w:pPr>
      <w:r>
        <w:rPr>
          <w:sz w:val="22"/>
          <w:szCs w:val="22"/>
        </w:rPr>
        <w:t xml:space="preserve">The most useful view was income and debt burden side by side. Each cell is the default rate for that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400"/>
        <w:gridCol w:w="1400"/>
        <w:gridCol w:w="1400"/>
        <w:gridCol w:w="1600"/>
        <w:gridCol w:w="1400"/>
      </w:tblGrid>
      <w:tr>
        <w:trPr>
          <w:tblHeader/>
        </w:trPr>
        <w:tc>
          <w:tcPr>
            <w:tcW w:type="dxa" w:w="1826"/>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left"/>
            </w:pPr>
            <w:r>
              <w:rPr>
                <w:b/>
                <w:bCs/>
                <w:color w:val="FFFFFF"/>
                <w:sz w:val="20"/>
                <w:szCs w:val="20"/>
              </w:rPr>
              <w:t xml:space="preserve">Income band</w:t>
            </w:r>
          </w:p>
        </w:tc>
        <w:tc>
          <w:tcPr>
            <w:tcW w:type="dxa" w:w="14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center"/>
            </w:pPr>
            <w:r>
              <w:rPr>
                <w:b/>
                <w:bCs/>
                <w:color w:val="FFFFFF"/>
                <w:sz w:val="20"/>
                <w:szCs w:val="20"/>
              </w:rPr>
              <w:t xml:space="preserve">Low burden</w:t>
            </w:r>
          </w:p>
        </w:tc>
        <w:tc>
          <w:tcPr>
            <w:tcW w:type="dxa" w:w="14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center"/>
            </w:pPr>
            <w:r>
              <w:rPr>
                <w:b/>
                <w:bCs/>
                <w:color w:val="FFFFFF"/>
                <w:sz w:val="20"/>
                <w:szCs w:val="20"/>
              </w:rPr>
              <w:t xml:space="preserve">Moderate</w:t>
            </w:r>
          </w:p>
        </w:tc>
        <w:tc>
          <w:tcPr>
            <w:tcW w:type="dxa" w:w="14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center"/>
            </w:pPr>
            <w:r>
              <w:rPr>
                <w:b/>
                <w:bCs/>
                <w:color w:val="FFFFFF"/>
                <w:sz w:val="20"/>
                <w:szCs w:val="20"/>
              </w:rPr>
              <w:t xml:space="preserve">High</w:t>
            </w:r>
          </w:p>
        </w:tc>
        <w:tc>
          <w:tcPr>
            <w:tcW w:type="dxa" w:w="16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center"/>
            </w:pPr>
            <w:r>
              <w:rPr>
                <w:b/>
                <w:bCs/>
                <w:color w:val="FFFFFF"/>
                <w:sz w:val="20"/>
                <w:szCs w:val="20"/>
              </w:rPr>
              <w:t xml:space="preserve">Very High</w:t>
            </w:r>
          </w:p>
        </w:tc>
        <w:tc>
          <w:tcPr>
            <w:tcW w:type="dxa" w:w="1400"/>
            <w:tcBorders>
              <w:top w:val="single" w:color="D9DEE3" w:sz="4"/>
              <w:left w:val="single" w:color="D9DEE3" w:sz="4"/>
              <w:bottom w:val="single" w:color="D9DEE3" w:sz="4"/>
              <w:right w:val="single" w:color="D9DEE3" w:sz="4"/>
            </w:tcBorders>
            <w:shd w:fill="0B1F3A" w:color="auto" w:val="clear"/>
            <w:tcMar>
              <w:top w:type="dxa" w:w="70"/>
              <w:left w:type="dxa" w:w="110"/>
              <w:bottom w:type="dxa" w:w="70"/>
              <w:right w:type="dxa" w:w="110"/>
            </w:tcMar>
            <w:vAlign w:val="center"/>
          </w:tcPr>
          <w:p>
            <w:pPr>
              <w:jc w:val="center"/>
            </w:pPr>
            <w:r>
              <w:rPr>
                <w:b/>
                <w:bCs/>
                <w:color w:val="FFFFFF"/>
                <w:sz w:val="20"/>
                <w:szCs w:val="20"/>
              </w:rPr>
              <w:t xml:space="preserve">Total</w:t>
            </w:r>
          </w:p>
        </w:tc>
      </w:tr>
      <w:tr>
        <w:trPr>
          <w:cantSplit/>
        </w:trPr>
        <w:tc>
          <w:tcPr>
            <w:tcW w:type="dxa" w:w="18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Under 30K</w:t>
            </w:r>
          </w:p>
        </w:tc>
        <w:tc>
          <w:tcPr>
            <w:tcW w:type="dxa" w:w="14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sz w:val="20"/>
                <w:szCs w:val="20"/>
              </w:rPr>
              <w:t xml:space="preserve">24.6%</w:t>
            </w:r>
          </w:p>
        </w:tc>
        <w:tc>
          <w:tcPr>
            <w:tcW w:type="dxa" w:w="14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sz w:val="20"/>
                <w:szCs w:val="20"/>
              </w:rPr>
              <w:t xml:space="preserve">32.8%</w:t>
            </w:r>
          </w:p>
        </w:tc>
        <w:tc>
          <w:tcPr>
            <w:tcW w:type="dxa" w:w="14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sz w:val="20"/>
                <w:szCs w:val="20"/>
              </w:rPr>
              <w:t xml:space="preserve">37.2%</w:t>
            </w:r>
          </w:p>
        </w:tc>
        <w:tc>
          <w:tcPr>
            <w:tcW w:type="dxa" w:w="16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b/>
                <w:bCs/>
                <w:color w:val="E63946"/>
                <w:sz w:val="20"/>
                <w:szCs w:val="20"/>
              </w:rPr>
              <w:t xml:space="preserve">82.4%</w:t>
            </w:r>
          </w:p>
        </w:tc>
        <w:tc>
          <w:tcPr>
            <w:tcW w:type="dxa" w:w="14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sz w:val="20"/>
                <w:szCs w:val="20"/>
              </w:rPr>
              <w:t xml:space="preserve">45.6%</w:t>
            </w:r>
          </w:p>
        </w:tc>
      </w:tr>
      <w:tr>
        <w:trPr>
          <w:cantSplit/>
        </w:trPr>
        <w:tc>
          <w:tcPr>
            <w:tcW w:type="dxa" w:w="18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30-50K</w:t>
            </w:r>
          </w:p>
        </w:tc>
        <w:tc>
          <w:tcPr>
            <w:tcW w:type="dxa" w:w="14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sz w:val="20"/>
                <w:szCs w:val="20"/>
              </w:rPr>
              <w:t xml:space="preserve">16.3%</w:t>
            </w:r>
          </w:p>
        </w:tc>
        <w:tc>
          <w:tcPr>
            <w:tcW w:type="dxa" w:w="14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sz w:val="20"/>
                <w:szCs w:val="20"/>
              </w:rPr>
              <w:t xml:space="preserve">16.2%</w:t>
            </w:r>
          </w:p>
        </w:tc>
        <w:tc>
          <w:tcPr>
            <w:tcW w:type="dxa" w:w="14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sz w:val="20"/>
                <w:szCs w:val="20"/>
              </w:rPr>
              <w:t xml:space="preserve">18.6%</w:t>
            </w:r>
          </w:p>
        </w:tc>
        <w:tc>
          <w:tcPr>
            <w:tcW w:type="dxa" w:w="16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b/>
                <w:bCs/>
                <w:color w:val="E63946"/>
                <w:sz w:val="20"/>
                <w:szCs w:val="20"/>
              </w:rPr>
              <w:t xml:space="preserve">68.4%</w:t>
            </w:r>
          </w:p>
        </w:tc>
        <w:tc>
          <w:tcPr>
            <w:tcW w:type="dxa" w:w="14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sz w:val="20"/>
                <w:szCs w:val="20"/>
              </w:rPr>
              <w:t xml:space="preserve">25.7%</w:t>
            </w:r>
          </w:p>
        </w:tc>
      </w:tr>
      <w:tr>
        <w:trPr>
          <w:cantSplit/>
        </w:trPr>
        <w:tc>
          <w:tcPr>
            <w:tcW w:type="dxa" w:w="18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50-75K</w:t>
            </w:r>
          </w:p>
        </w:tc>
        <w:tc>
          <w:tcPr>
            <w:tcW w:type="dxa" w:w="14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sz w:val="20"/>
                <w:szCs w:val="20"/>
              </w:rPr>
              <w:t xml:space="preserve">11.9%</w:t>
            </w:r>
          </w:p>
        </w:tc>
        <w:tc>
          <w:tcPr>
            <w:tcW w:type="dxa" w:w="14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sz w:val="20"/>
                <w:szCs w:val="20"/>
              </w:rPr>
              <w:t xml:space="preserve">12.4%</w:t>
            </w:r>
          </w:p>
        </w:tc>
        <w:tc>
          <w:tcPr>
            <w:tcW w:type="dxa" w:w="14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sz w:val="20"/>
                <w:szCs w:val="20"/>
              </w:rPr>
              <w:t xml:space="preserve">17.8%</w:t>
            </w:r>
          </w:p>
        </w:tc>
        <w:tc>
          <w:tcPr>
            <w:tcW w:type="dxa" w:w="16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b/>
                <w:bCs/>
                <w:color w:val="E63946"/>
                <w:sz w:val="20"/>
                <w:szCs w:val="20"/>
              </w:rPr>
              <w:t xml:space="preserve">62.0%</w:t>
            </w:r>
          </w:p>
        </w:tc>
        <w:tc>
          <w:tcPr>
            <w:tcW w:type="dxa" w:w="14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sz w:val="20"/>
                <w:szCs w:val="20"/>
              </w:rPr>
              <w:t xml:space="preserve">17.6%</w:t>
            </w:r>
          </w:p>
        </w:tc>
      </w:tr>
      <w:tr>
        <w:trPr>
          <w:cantSplit/>
        </w:trPr>
        <w:tc>
          <w:tcPr>
            <w:tcW w:type="dxa" w:w="18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sz w:val="20"/>
                <w:szCs w:val="20"/>
              </w:rPr>
              <w:t xml:space="preserve">75-100K</w:t>
            </w:r>
          </w:p>
        </w:tc>
        <w:tc>
          <w:tcPr>
            <w:tcW w:type="dxa" w:w="14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sz w:val="20"/>
                <w:szCs w:val="20"/>
              </w:rPr>
              <w:t xml:space="preserve">7.2%</w:t>
            </w:r>
          </w:p>
        </w:tc>
        <w:tc>
          <w:tcPr>
            <w:tcW w:type="dxa" w:w="14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sz w:val="20"/>
                <w:szCs w:val="20"/>
              </w:rPr>
              <w:t xml:space="preserve">8.6%</w:t>
            </w:r>
          </w:p>
        </w:tc>
        <w:tc>
          <w:tcPr>
            <w:tcW w:type="dxa" w:w="14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sz w:val="20"/>
                <w:szCs w:val="20"/>
              </w:rPr>
              <w:t xml:space="preserve">18.1%</w:t>
            </w:r>
          </w:p>
        </w:tc>
        <w:tc>
          <w:tcPr>
            <w:tcW w:type="dxa" w:w="16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b/>
                <w:bCs/>
                <w:color w:val="E63946"/>
                <w:sz w:val="20"/>
                <w:szCs w:val="20"/>
              </w:rPr>
              <w:t xml:space="preserve">52.2%</w:t>
            </w:r>
          </w:p>
        </w:tc>
        <w:tc>
          <w:tcPr>
            <w:tcW w:type="dxa" w:w="14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sz w:val="20"/>
                <w:szCs w:val="20"/>
              </w:rPr>
              <w:t xml:space="preserve">11.0%</w:t>
            </w:r>
          </w:p>
        </w:tc>
      </w:tr>
      <w:tr>
        <w:trPr>
          <w:cantSplit/>
        </w:trPr>
        <w:tc>
          <w:tcPr>
            <w:tcW w:type="dxa" w:w="1826"/>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left"/>
            </w:pPr>
            <w:r>
              <w:rPr>
                <w:sz w:val="20"/>
                <w:szCs w:val="20"/>
              </w:rPr>
              <w:t xml:space="preserve">Above 100K</w:t>
            </w:r>
          </w:p>
        </w:tc>
        <w:tc>
          <w:tcPr>
            <w:tcW w:type="dxa" w:w="14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sz w:val="20"/>
                <w:szCs w:val="20"/>
              </w:rPr>
              <w:t xml:space="preserve">7.2%</w:t>
            </w:r>
          </w:p>
        </w:tc>
        <w:tc>
          <w:tcPr>
            <w:tcW w:type="dxa" w:w="14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sz w:val="20"/>
                <w:szCs w:val="20"/>
              </w:rPr>
              <w:t xml:space="preserve">11.0%</w:t>
            </w:r>
          </w:p>
        </w:tc>
        <w:tc>
          <w:tcPr>
            <w:tcW w:type="dxa" w:w="14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sz w:val="20"/>
                <w:szCs w:val="20"/>
              </w:rPr>
              <w:t xml:space="preserve">19.7%</w:t>
            </w:r>
          </w:p>
        </w:tc>
        <w:tc>
          <w:tcPr>
            <w:tcW w:type="dxa" w:w="16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b/>
                <w:bCs/>
                <w:color w:val="E63946"/>
                <w:sz w:val="20"/>
                <w:szCs w:val="20"/>
              </w:rPr>
              <w:t xml:space="preserve">40.0%</w:t>
            </w:r>
          </w:p>
        </w:tc>
        <w:tc>
          <w:tcPr>
            <w:tcW w:type="dxa" w:w="1400"/>
            <w:tcBorders>
              <w:top w:val="single" w:color="D9DEE3" w:sz="4"/>
              <w:left w:val="single" w:color="D9DEE3" w:sz="4"/>
              <w:bottom w:val="single" w:color="D9DEE3" w:sz="4"/>
              <w:right w:val="single" w:color="D9DEE3" w:sz="4"/>
            </w:tcBorders>
            <w:tcMar>
              <w:top w:type="dxa" w:w="70"/>
              <w:left w:type="dxa" w:w="110"/>
              <w:bottom w:type="dxa" w:w="70"/>
              <w:right w:type="dxa" w:w="110"/>
            </w:tcMar>
            <w:vAlign w:val="center"/>
          </w:tcPr>
          <w:p>
            <w:pPr>
              <w:jc w:val="center"/>
            </w:pPr>
            <w:r>
              <w:rPr>
                <w:sz w:val="20"/>
                <w:szCs w:val="20"/>
              </w:rPr>
              <w:t xml:space="preserve">9.6%</w:t>
            </w:r>
          </w:p>
        </w:tc>
      </w:tr>
      <w:tr>
        <w:trPr>
          <w:cantSplit/>
        </w:trPr>
        <w:tc>
          <w:tcPr>
            <w:tcW w:type="dxa" w:w="1826"/>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left"/>
            </w:pPr>
            <w:r>
              <w:rPr>
                <w:b/>
                <w:bCs/>
                <w:sz w:val="20"/>
                <w:szCs w:val="20"/>
              </w:rPr>
              <w:t xml:space="preserve">Total</w:t>
            </w:r>
          </w:p>
        </w:tc>
        <w:tc>
          <w:tcPr>
            <w:tcW w:type="dxa" w:w="14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b/>
                <w:bCs/>
                <w:sz w:val="20"/>
                <w:szCs w:val="20"/>
              </w:rPr>
              <w:t xml:space="preserve">11.8%</w:t>
            </w:r>
          </w:p>
        </w:tc>
        <w:tc>
          <w:tcPr>
            <w:tcW w:type="dxa" w:w="14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b/>
                <w:bCs/>
                <w:sz w:val="20"/>
                <w:szCs w:val="20"/>
              </w:rPr>
              <w:t xml:space="preserve">15.1%</w:t>
            </w:r>
          </w:p>
        </w:tc>
        <w:tc>
          <w:tcPr>
            <w:tcW w:type="dxa" w:w="14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b/>
                <w:bCs/>
                <w:sz w:val="20"/>
                <w:szCs w:val="20"/>
              </w:rPr>
              <w:t xml:space="preserve">22.0%</w:t>
            </w:r>
          </w:p>
        </w:tc>
        <w:tc>
          <w:tcPr>
            <w:tcW w:type="dxa" w:w="16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b/>
                <w:bCs/>
                <w:color w:val="E63946"/>
                <w:sz w:val="20"/>
                <w:szCs w:val="20"/>
              </w:rPr>
              <w:t xml:space="preserve">70.4%</w:t>
            </w:r>
          </w:p>
        </w:tc>
        <w:tc>
          <w:tcPr>
            <w:tcW w:type="dxa" w:w="1400"/>
            <w:tcBorders>
              <w:top w:val="single" w:color="D9DEE3" w:sz="4"/>
              <w:left w:val="single" w:color="D9DEE3" w:sz="4"/>
              <w:bottom w:val="single" w:color="D9DEE3" w:sz="4"/>
              <w:right w:val="single" w:color="D9DEE3" w:sz="4"/>
            </w:tcBorders>
            <w:shd w:fill="F4F6F8" w:color="auto" w:val="clear"/>
            <w:tcMar>
              <w:top w:type="dxa" w:w="70"/>
              <w:left w:type="dxa" w:w="110"/>
              <w:bottom w:type="dxa" w:w="70"/>
              <w:right w:type="dxa" w:w="110"/>
            </w:tcMar>
            <w:vAlign w:val="center"/>
          </w:tcPr>
          <w:p>
            <w:pPr>
              <w:jc w:val="center"/>
            </w:pPr>
            <w:r>
              <w:rPr>
                <w:b/>
                <w:bCs/>
                <w:sz w:val="20"/>
                <w:szCs w:val="20"/>
              </w:rPr>
              <w:t xml:space="preserve">21.9%</w:t>
            </w:r>
          </w:p>
        </w:tc>
      </w:tr>
    </w:tbl>
    <w:p>
      <w:pPr>
        <w:spacing w:after="100"/>
      </w:pPr>
    </w:p>
    <w:p>
      <w:pPr>
        <w:spacing w:after="120" w:line="288"/>
      </w:pPr>
      <w:r>
        <w:rPr>
          <w:sz w:val="22"/>
          <w:szCs w:val="22"/>
        </w:rPr>
        <w:t xml:space="preserve">A very high burden is risky at every income level, even above 100K, where it still defaults at 40.0%. Low income makes it worse. Putting it together, the typical high-risk borrower in this data earns little, rents, has a loan above 30% of income and holds a grade of D or lower.</w:t>
      </w:r>
    </w:p>
    <w:p>
      <w:pPr>
        <w:pStyle w:val="Heading1"/>
      </w:pPr>
      <w:r>
        <w:t xml:space="preserve">6. The Power BI Dashboard</w:t>
      </w:r>
    </w:p>
    <w:p>
      <w:pPr>
        <w:keepNext/>
        <w:spacing w:after="120" w:line="288"/>
      </w:pPr>
      <w:r>
        <w:rPr>
          <w:sz w:val="22"/>
          <w:szCs w:val="22"/>
        </w:rPr>
        <w:t xml:space="preserve">The dashboard has three pages. I used navy for headers, teal for normal values and red only for risk and default, so red draws the eye to the problem areas. The slicers (loan purpose, risk bucket, home ownership) are synced across pages. The main measure is Default Rate % = DIVIDE([Defaults], [Total Loans]).</w:t>
      </w:r>
    </w:p>
    <w:p>
      <w:pPr>
        <w:pStyle w:val="Heading2"/>
      </w:pPr>
      <w:r>
        <w:t xml:space="preserve">Home page</w:t>
      </w:r>
    </w:p>
    <w:p>
      <w:pPr>
        <w:keepNext/>
        <w:spacing w:after="120" w:line="288"/>
      </w:pPr>
      <w:r>
        <w:rPr>
          <w:sz w:val="22"/>
          <w:szCs w:val="22"/>
        </w:rPr>
        <w:t xml:space="preserve">A simple landing page with buttons to the other two pages.</w:t>
      </w:r>
    </w:p>
    <w:p>
      <w:pPr>
        <w:keepNext/>
        <w:spacing w:after="40" w:before="120"/>
        <w:jc w:val="center"/>
      </w:pPr>
      <w:r>
        <w:drawing>
          <wp:inline distT="0" distB="0" distL="0" distR="0">
            <wp:extent cx="4572000" cy="2714625"/>
            <wp:effectExtent t="0" r="0" b="0" l="0"/>
            <wp:docPr id="1" name="home.png" descr="Power BI dashboard page" title="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14625"/>
                    </a:xfrm>
                    <a:prstGeom prst="rect">
                      <a:avLst/>
                    </a:prstGeom>
                  </pic:spPr>
                </pic:pic>
              </a:graphicData>
            </a:graphic>
          </wp:inline>
        </w:drawing>
      </w:r>
    </w:p>
    <w:p>
      <w:pPr>
        <w:spacing w:after="200" w:before="60"/>
        <w:jc w:val="center"/>
      </w:pPr>
      <w:r>
        <w:rPr>
          <w:i/>
          <w:iCs/>
          <w:color w:val="6C757D"/>
          <w:sz w:val="18"/>
          <w:szCs w:val="18"/>
        </w:rPr>
        <w:t xml:space="preserve">Figure 1: Home page</w:t>
      </w:r>
    </w:p>
    <w:p>
      <w:pPr>
        <w:pStyle w:val="Heading2"/>
      </w:pPr>
      <w:r>
        <w:t xml:space="preserve">Executive Overview</w:t>
      </w:r>
    </w:p>
    <w:p>
      <w:pPr>
        <w:keepNext/>
        <w:spacing w:after="120" w:line="288"/>
      </w:pPr>
      <w:r>
        <w:rPr>
          <w:sz w:val="22"/>
          <w:szCs w:val="22"/>
        </w:rPr>
        <w:t xml:space="preserve">The top row shows total loans, total exposure, default rate and average interest rate. Below that are default rate by grade, income band and loan purpose, and the portfolio split by risk bucket. Grades D to G are red so the jump after grade C is easy to see.</w:t>
      </w:r>
    </w:p>
    <w:p>
      <w:pPr>
        <w:keepNext/>
        <w:spacing w:after="40" w:before="120"/>
        <w:jc w:val="center"/>
      </w:pPr>
      <w:r>
        <w:drawing>
          <wp:inline distT="0" distB="0" distL="0" distR="0">
            <wp:extent cx="5143500" cy="2876550"/>
            <wp:effectExtent t="0" r="0" b="0" l="0"/>
            <wp:docPr id="1" name="exec.png" descr="Power BI dashboard page" title="ex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76550"/>
                    </a:xfrm>
                    <a:prstGeom prst="rect">
                      <a:avLst/>
                    </a:prstGeom>
                  </pic:spPr>
                </pic:pic>
              </a:graphicData>
            </a:graphic>
          </wp:inline>
        </w:drawing>
      </w:r>
    </w:p>
    <w:p>
      <w:pPr>
        <w:spacing w:after="200" w:before="60"/>
        <w:jc w:val="center"/>
      </w:pPr>
      <w:r>
        <w:rPr>
          <w:i/>
          <w:iCs/>
          <w:color w:val="6C757D"/>
          <w:sz w:val="18"/>
          <w:szCs w:val="18"/>
        </w:rPr>
        <w:t xml:space="preserve">Figure 2: Executive Overview page</w:t>
      </w:r>
    </w:p>
    <w:p>
      <w:pPr>
        <w:pStyle w:val="Heading2"/>
      </w:pPr>
      <w:r>
        <w:t xml:space="preserve">Risk Drivers</w:t>
      </w:r>
    </w:p>
    <w:p>
      <w:pPr>
        <w:keepNext/>
        <w:spacing w:after="120" w:line="288"/>
      </w:pPr>
      <w:r>
        <w:rPr>
          <w:sz w:val="22"/>
          <w:szCs w:val="22"/>
        </w:rPr>
        <w:t xml:space="preserve">This page looks at why default happens: debt burden, past default, home ownership, interest rate by grade, and a heat map of income against debt burden. The dotted lines mark the portfolio average of 21.9%.</w:t>
      </w:r>
    </w:p>
    <w:p>
      <w:pPr>
        <w:keepNext/>
        <w:spacing w:after="40" w:before="120"/>
        <w:jc w:val="center"/>
      </w:pPr>
      <w:r>
        <w:drawing>
          <wp:inline distT="0" distB="0" distL="0" distR="0">
            <wp:extent cx="5143500" cy="2886075"/>
            <wp:effectExtent t="0" r="0" b="0" l="0"/>
            <wp:docPr id="1" name="risk.png" descr="Power BI dashboard page" title="ri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86075"/>
                    </a:xfrm>
                    <a:prstGeom prst="rect">
                      <a:avLst/>
                    </a:prstGeom>
                  </pic:spPr>
                </pic:pic>
              </a:graphicData>
            </a:graphic>
          </wp:inline>
        </w:drawing>
      </w:r>
    </w:p>
    <w:p>
      <w:pPr>
        <w:spacing w:after="200" w:before="60"/>
        <w:jc w:val="center"/>
      </w:pPr>
      <w:r>
        <w:rPr>
          <w:i/>
          <w:iCs/>
          <w:color w:val="6C757D"/>
          <w:sz w:val="18"/>
          <w:szCs w:val="18"/>
        </w:rPr>
        <w:t xml:space="preserve">Figure 3: Risk Drivers page</w:t>
      </w:r>
    </w:p>
    <w:p>
      <w:pPr>
        <w:pStyle w:val="Heading1"/>
      </w:pPr>
      <w:r>
        <w:t xml:space="preserve">7. Problems I Ran Into</w:t>
      </w:r>
    </w:p>
    <w:p>
      <w:pPr>
        <w:spacing w:after="120" w:line="288"/>
      </w:pPr>
      <w:r>
        <w:rPr>
          <w:sz w:val="22"/>
          <w:szCs w:val="22"/>
        </w:rPr>
        <w:t xml:space="preserve">Not everything worked the first time, and fixing these taught me more than the parts that went smoothly.</w:t>
      </w:r>
    </w:p>
    <w:p>
      <w:pPr>
        <w:pStyle w:val="ListParagraph"/>
        <w:numPr>
          <w:ilvl w:val="0"/>
          <w:numId w:val="2"/>
        </w:numPr>
        <w:spacing w:after="80" w:line="276"/>
      </w:pPr>
      <w:r>
        <w:rPr>
          <w:b/>
          <w:bCs/>
          <w:sz w:val="22"/>
          <w:szCs w:val="22"/>
        </w:rPr>
        <w:t xml:space="preserve">Dataset too large.</w:t>
      </w:r>
      <w:r>
        <w:rPr>
          <w:sz w:val="22"/>
          <w:szCs w:val="22"/>
        </w:rPr>
        <w:t xml:space="preserve"> My first choice, Lending Club, was too big and had too many columns. Moving to a smaller dataset let me finish the full process properly.</w:t>
      </w:r>
    </w:p>
    <w:p>
      <w:pPr>
        <w:pStyle w:val="ListParagraph"/>
        <w:numPr>
          <w:ilvl w:val="0"/>
          <w:numId w:val="2"/>
        </w:numPr>
        <w:spacing w:after="80" w:line="276"/>
      </w:pPr>
      <w:r>
        <w:rPr>
          <w:b/>
          <w:bCs/>
          <w:sz w:val="22"/>
          <w:szCs w:val="22"/>
        </w:rPr>
        <w:t xml:space="preserve">A column that did not exist.</w:t>
      </w:r>
      <w:r>
        <w:rPr>
          <w:sz w:val="22"/>
          <w:szCs w:val="22"/>
        </w:rPr>
        <w:t xml:space="preserve"> I tried to check credit_score and got an error, because that column is not in this version of the data. I now run df.columns before using a column name.</w:t>
      </w:r>
    </w:p>
    <w:p>
      <w:pPr>
        <w:pStyle w:val="ListParagraph"/>
        <w:numPr>
          <w:ilvl w:val="0"/>
          <w:numId w:val="2"/>
        </w:numPr>
        <w:spacing w:after="80" w:line="276"/>
      </w:pPr>
      <w:r>
        <w:rPr>
          <w:b/>
          <w:bCs/>
          <w:sz w:val="22"/>
          <w:szCs w:val="22"/>
        </w:rPr>
        <w:t xml:space="preserve">Bands sorted alphabetically in Power BI.</w:t>
      </w:r>
      <w:r>
        <w:rPr>
          <w:sz w:val="22"/>
          <w:szCs w:val="22"/>
        </w:rPr>
        <w:t xml:space="preserve"> Income bands showed as 30-50K, 50-75K, 75-100K, Above 100K, Under 30K. I fixed it with a sort-order column and the Sort by column option. At first I set the order column to sort by the band column as well, which caused a circular dependency error. The order column has to sort by itself.</w:t>
      </w:r>
    </w:p>
    <w:p>
      <w:pPr>
        <w:pStyle w:val="ListParagraph"/>
        <w:numPr>
          <w:ilvl w:val="0"/>
          <w:numId w:val="2"/>
        </w:numPr>
        <w:spacing w:after="80" w:line="276"/>
      </w:pPr>
      <w:r>
        <w:rPr>
          <w:b/>
          <w:bCs/>
          <w:sz w:val="22"/>
          <w:szCs w:val="22"/>
        </w:rPr>
        <w:t xml:space="preserve">Numbers that looked wrong.</w:t>
      </w:r>
      <w:r>
        <w:rPr>
          <w:sz w:val="22"/>
          <w:szCs w:val="22"/>
        </w:rPr>
        <w:t xml:space="preserve"> At one point the donut chart showed 106 loans in total. A slicer was still set to the 'Other' home ownership group. Since then I reset all slicers to All before saving.</w:t>
      </w:r>
    </w:p>
    <w:p>
      <w:pPr>
        <w:pStyle w:val="ListParagraph"/>
        <w:numPr>
          <w:ilvl w:val="0"/>
          <w:numId w:val="2"/>
        </w:numPr>
        <w:spacing w:after="80" w:line="276"/>
      </w:pPr>
      <w:r>
        <w:rPr>
          <w:b/>
          <w:bCs/>
          <w:sz w:val="22"/>
          <w:szCs w:val="22"/>
        </w:rPr>
        <w:t xml:space="preserve">Busy background.</w:t>
      </w:r>
      <w:r>
        <w:rPr>
          <w:sz w:val="22"/>
          <w:szCs w:val="22"/>
        </w:rPr>
        <w:t xml:space="preserve"> My first version had a bank photo behind the charts, which made them harder to read. A plain light background worked much better.</w:t>
      </w:r>
    </w:p>
    <w:p>
      <w:pPr>
        <w:pStyle w:val="Heading1"/>
      </w:pPr>
      <w:r>
        <w:t xml:space="preserve">8. Recommendations</w:t>
      </w:r>
    </w:p>
    <w:p>
      <w:pPr>
        <w:keepNext/>
        <w:spacing w:after="120" w:line="288"/>
      </w:pPr>
      <w:r>
        <w:rPr>
          <w:sz w:val="22"/>
          <w:szCs w:val="22"/>
        </w:rPr>
        <w:t xml:space="preserve">Based on what the data shows, a bank could consider:</w:t>
      </w:r>
    </w:p>
    <w:p>
      <w:pPr>
        <w:pStyle w:val="ListParagraph"/>
        <w:numPr>
          <w:ilvl w:val="0"/>
          <w:numId w:val="4"/>
        </w:numPr>
        <w:spacing w:after="100" w:line="276"/>
      </w:pPr>
      <w:r>
        <w:rPr>
          <w:sz w:val="22"/>
          <w:szCs w:val="22"/>
        </w:rPr>
        <w:t xml:space="preserve">Adding an extra approval step for loans above 30% of the borrower's income, since this group defaults most.</w:t>
      </w:r>
    </w:p>
    <w:p>
      <w:pPr>
        <w:pStyle w:val="ListParagraph"/>
        <w:numPr>
          <w:ilvl w:val="0"/>
          <w:numId w:val="4"/>
        </w:numPr>
        <w:spacing w:after="100" w:line="276"/>
      </w:pPr>
      <w:r>
        <w:rPr>
          <w:sz w:val="22"/>
          <w:szCs w:val="22"/>
        </w:rPr>
        <w:t xml:space="preserve">Reviewing the pricing and limits for grades D to G. Their default rates are far higher, but the interest rate only rises a little.</w:t>
      </w:r>
    </w:p>
    <w:p>
      <w:pPr>
        <w:pStyle w:val="ListParagraph"/>
        <w:numPr>
          <w:ilvl w:val="0"/>
          <w:numId w:val="4"/>
        </w:numPr>
        <w:spacing w:after="100" w:line="276"/>
      </w:pPr>
      <w:r>
        <w:rPr>
          <w:sz w:val="22"/>
          <w:szCs w:val="22"/>
        </w:rPr>
        <w:t xml:space="preserve">Checking borrowers with a past default more carefully. They default at about twice the rate of others (37.9% against 18.4%).</w:t>
      </w:r>
    </w:p>
    <w:p>
      <w:pPr>
        <w:pStyle w:val="ListParagraph"/>
        <w:numPr>
          <w:ilvl w:val="0"/>
          <w:numId w:val="4"/>
        </w:numPr>
        <w:spacing w:after="100" w:line="276"/>
      </w:pPr>
      <w:r>
        <w:rPr>
          <w:sz w:val="22"/>
          <w:szCs w:val="22"/>
        </w:rPr>
        <w:t xml:space="preserve">Offering smaller limits to borrowers earning under 30K, especially for debt consolidation and medical loans.</w:t>
      </w:r>
    </w:p>
    <w:p>
      <w:pPr>
        <w:pStyle w:val="ListParagraph"/>
        <w:numPr>
          <w:ilvl w:val="0"/>
          <w:numId w:val="4"/>
        </w:numPr>
        <w:spacing w:after="100" w:line="276"/>
      </w:pPr>
      <w:r>
        <w:rPr>
          <w:sz w:val="22"/>
          <w:szCs w:val="22"/>
        </w:rPr>
        <w:t xml:space="preserve">Not using age as a risk factor. It had no relationship with default here.</w:t>
      </w:r>
    </w:p>
    <w:p>
      <w:pPr>
        <w:pStyle w:val="Heading1"/>
      </w:pPr>
      <w:r>
        <w:t xml:space="preserve">9. Limitations</w:t>
      </w:r>
    </w:p>
    <w:p>
      <w:pPr>
        <w:spacing w:after="120" w:line="288"/>
      </w:pPr>
      <w:r>
        <w:rPr>
          <w:sz w:val="22"/>
          <w:szCs w:val="22"/>
        </w:rPr>
        <w:t xml:space="preserve">The results should be read with these limits in mind. The data has no dates, so I could not look at trends over time. It also has no recovery or loss amounts, which means default rate is not the same as money lost, and my point about under-priced grades is a guess that would need that data to confirm. The grade is set by the bank, so it reflects risk rather than causing it. All correlations are modest, and correlation does not prove cause. A few groups are small (grade G and the 'Other' home ownership group, about 100 loans), so their percentages can swing a lot. Finally, this is a public dataset and may not look like any real bank's portfolio.</w:t>
      </w:r>
    </w:p>
    <w:p>
      <w:pPr>
        <w:pStyle w:val="Heading1"/>
      </w:pPr>
      <w:r>
        <w:t xml:space="preserve">10. What I Would Do Next</w:t>
      </w:r>
    </w:p>
    <w:p>
      <w:pPr>
        <w:pStyle w:val="ListParagraph"/>
        <w:numPr>
          <w:ilvl w:val="0"/>
          <w:numId w:val="2"/>
        </w:numPr>
        <w:spacing w:after="80" w:line="276"/>
      </w:pPr>
      <w:r>
        <w:rPr>
          <w:sz w:val="22"/>
          <w:szCs w:val="22"/>
        </w:rPr>
        <w:t xml:space="preserve">Build a model that predicts probability of default, starting with logistic regression and then trying gradient boosting, and check it with ROC-AUC.</w:t>
      </w:r>
    </w:p>
    <w:p>
      <w:pPr>
        <w:pStyle w:val="ListParagraph"/>
        <w:numPr>
          <w:ilvl w:val="0"/>
          <w:numId w:val="2"/>
        </w:numPr>
        <w:spacing w:after="80" w:line="276"/>
      </w:pPr>
      <w:r>
        <w:rPr>
          <w:sz w:val="22"/>
          <w:szCs w:val="22"/>
        </w:rPr>
        <w:t xml:space="preserve">Add expected loss (probability of default x loss given default x exposure at default) if recovery data can be found.</w:t>
      </w:r>
    </w:p>
    <w:p>
      <w:pPr>
        <w:pStyle w:val="ListParagraph"/>
        <w:numPr>
          <w:ilvl w:val="0"/>
          <w:numId w:val="2"/>
        </w:numPr>
        <w:spacing w:after="80" w:line="276"/>
      </w:pPr>
      <w:r>
        <w:rPr>
          <w:sz w:val="22"/>
          <w:szCs w:val="22"/>
        </w:rPr>
        <w:t xml:space="preserve">Try a dataset with dates so the dashboard can show trends.</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C757D"/>
        <w:sz w:val="18"/>
        <w:szCs w:val="18"/>
      </w:rPr>
      <w:t xml:space="preserve">Page </w:t>
    </w:r>
    <w:r>
      <w:rPr>
        <w:color w:val="6C75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C757D"/>
        <w:sz w:val="18"/>
        <w:szCs w:val="18"/>
      </w:rPr>
      <w:t xml:space="preserve">Banking Credit Risk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A9D8F" w:sz="6" w:space="3"/>
      </w:pBdr>
      <w:spacing w:after="140" w:before="360"/>
      <w:outlineLvl w:val="0"/>
    </w:pPr>
    <w:rPr>
      <w:rFonts w:ascii="Calibri" w:cs="Calibri" w:eastAsia="Calibri" w:hAnsi="Calibri"/>
      <w:b/>
      <w:bCs/>
      <w:color w:val="0B1F3A"/>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A9D8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d9dcc3938f8d0a8eecfbd1e986c4506743b47d.png"/><Relationship Id="rId10" Type="http://schemas.openxmlformats.org/officeDocument/2006/relationships/image" Target="media/527bacf311b34ba57467cd81dc0aeac778b46bfe.png"/><Relationship Id="rId11" Type="http://schemas.openxmlformats.org/officeDocument/2006/relationships/image" Target="media/0f897f549ffbb43c1b2d4649e65e6bb6718f077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Credit Risk Analysis</dc:title>
  <dc:creator>Banking Risk Analysis Project</dc:creator>
  <cp:lastModifiedBy>Un-named</cp:lastModifiedBy>
  <cp:revision>1</cp:revision>
  <dcterms:created xsi:type="dcterms:W3CDTF">2026-10-22T15:16:44.338Z</dcterms:created>
  <dcterms:modified xsi:type="dcterms:W3CDTF">2026-10-22T15:16:44.338Z</dcterms:modified>
</cp:coreProperties>
</file>

<file path=docProps/custom.xml><?xml version="1.0" encoding="utf-8"?>
<Properties xmlns="http://schemas.openxmlformats.org/officeDocument/2006/custom-properties" xmlns:vt="http://schemas.openxmlformats.org/officeDocument/2006/docPropsVTypes"/>
</file>