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4FAB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/>
          <w:b/>
          <w:bCs/>
          <w:sz w:val="24"/>
          <w:lang w:val="en-US" w:eastAsia="zh-CN"/>
        </w:rPr>
      </w:pPr>
      <w:bookmarkStart w:id="0" w:name="_GoBack"/>
      <w:bookmarkEnd w:id="0"/>
      <w:r>
        <w:rPr>
          <w:rFonts w:hint="eastAsia" w:ascii="Times New Roman" w:hAnsi="Times New Roman" w:eastAsia="宋体"/>
          <w:b/>
          <w:bCs/>
          <w:sz w:val="24"/>
          <w:lang w:val="en-US" w:eastAsia="zh-CN"/>
        </w:rPr>
        <w:t>一、文章来源</w:t>
      </w:r>
    </w:p>
    <w:p w14:paraId="207410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章志远：《迈向公私合作型行政法》，载《法学研究》2019年第2期，第137-153页。</w:t>
      </w:r>
    </w:p>
    <w:p w14:paraId="53A295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lang w:val="en-US" w:eastAsia="zh-CN"/>
        </w:rPr>
      </w:pPr>
    </w:p>
    <w:p w14:paraId="17D81A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/>
          <w:b/>
          <w:bCs/>
          <w:sz w:val="24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4"/>
          <w:lang w:val="en-US" w:eastAsia="zh-CN"/>
        </w:rPr>
        <w:t>二、文章推理逻辑分析</w:t>
      </w:r>
    </w:p>
    <w:p w14:paraId="49C615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文章于19年发表，截至目前被引量已超340次，短短6年时间，一篇现状、挑战及对策文章何以出彩？其背后是作者深刻的思想及推理论证。就文章主题而言，问题导向鲜明且回应现实：聚焦我国社会转型期公私合作治理的兴起，精准捕捉传统行政法学的结构性困境，在此背影下成文。具体而言，政府治理的多元主体结构、规则多元、过程交互、方式多样以及纠纷复合性，都对法治建设提出了新要求。为顺应公私合作治理的兴起应发展公私合作型行政法，引入“辅助性原则”和“合作原则”，以促进行政任务的有效履行和公共福祉的增进。多元治理、公私合作对行政法的发展确实提出了重要的挑战，如何确定各方参与主体行为的法律性质、如何恰当分配各方的责任、如何构建畅通的权利救济和纠纷解决渠道，以及如何对传统行政法的主体、程序等规则加以调整等等，均值得进一步研究。</w:t>
      </w:r>
    </w:p>
    <w:p w14:paraId="35CE76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从文章的主线逻辑来看，“实践兴起”到“传统理论挑战”，再到“新思维建构”与“逻辑展开”，整体是对策建议型文章的思路。但是，文章的推理逻辑却展现得十分深刻：</w:t>
      </w:r>
    </w:p>
    <w:p w14:paraId="0E4F2E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2" w:firstLineChars="200"/>
        <w:textAlignment w:val="auto"/>
        <w:rPr>
          <w:rFonts w:hint="eastAsia" w:ascii="Times New Roman" w:hAnsi="Times New Roman" w:eastAsia="宋体"/>
          <w:sz w:val="24"/>
          <w:lang w:val="en-US" w:eastAsia="zh-CN"/>
        </w:rPr>
      </w:pPr>
      <w:r>
        <w:rPr>
          <w:rFonts w:hint="eastAsia" w:ascii="Times New Roman" w:hAnsi="Times New Roman" w:eastAsia="宋体" w:cstheme="minorBidi"/>
          <w:b/>
          <w:bCs/>
          <w:kern w:val="2"/>
          <w:sz w:val="24"/>
          <w:szCs w:val="24"/>
          <w:lang w:val="en-US" w:eastAsia="zh-CN" w:bidi="ar-SA"/>
        </w:rPr>
        <w:t>第一，</w:t>
      </w:r>
      <w:r>
        <w:rPr>
          <w:rFonts w:hint="eastAsia" w:ascii="Times New Roman" w:hAnsi="Times New Roman" w:eastAsia="宋体"/>
          <w:b/>
          <w:bCs/>
          <w:sz w:val="24"/>
          <w:lang w:val="en-US" w:eastAsia="zh-CN"/>
        </w:rPr>
        <w:t>文章的标题提示了两个前提性思路与结论。</w:t>
      </w:r>
      <w:r>
        <w:rPr>
          <w:rFonts w:hint="eastAsia" w:ascii="Times New Roman" w:hAnsi="Times New Roman" w:eastAsia="宋体"/>
          <w:sz w:val="24"/>
          <w:lang w:val="en-US" w:eastAsia="zh-CN"/>
        </w:rPr>
        <w:t>一是“公私合作型”，意味着对于行政法的讨论从公法与私法的交融展开，与引言中所举的“公共行政”“行政任务民营化”等所对应，并由此使得“公私合作治理”这一名词的引入与选择更加自然，逻辑上是讨论主题——范围限定——选择合适用词；二是“行政法”，这意味着文章的讨论框架与传统行政法学的积累也是密不可分的，文章的创新不是对行政法学理论的颠覆而是在其基础上探讨“公私合作型行政法”这一新兴的行政法样态，因此文章第四部分在进行建构时是在传统理论的主体论、行为论、救济论上展开。</w:t>
      </w:r>
    </w:p>
    <w:p w14:paraId="2DD964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2" w:firstLineChars="200"/>
        <w:textAlignment w:val="auto"/>
        <w:rPr>
          <w:rFonts w:hint="eastAsia" w:ascii="Times New Roman" w:hAnsi="Times New Roman" w:eastAsia="宋体"/>
          <w:b/>
          <w:bCs/>
          <w:sz w:val="24"/>
          <w:lang w:val="en-US" w:eastAsia="zh-CN"/>
        </w:rPr>
      </w:pPr>
      <w:r>
        <w:rPr>
          <w:rFonts w:hint="eastAsia" w:ascii="Times New Roman" w:hAnsi="Times New Roman" w:eastAsia="宋体" w:cstheme="minorBidi"/>
          <w:b/>
          <w:bCs/>
          <w:kern w:val="2"/>
          <w:sz w:val="24"/>
          <w:szCs w:val="24"/>
          <w:lang w:val="en-US" w:eastAsia="zh-CN" w:bidi="ar-SA"/>
        </w:rPr>
        <w:t>第二，</w:t>
      </w:r>
      <w:r>
        <w:rPr>
          <w:rFonts w:hint="eastAsia" w:ascii="Times New Roman" w:hAnsi="Times New Roman" w:eastAsia="宋体"/>
          <w:b/>
          <w:bCs/>
          <w:sz w:val="24"/>
          <w:lang w:val="en-US" w:eastAsia="zh-CN"/>
        </w:rPr>
        <w:t>文章的第一部分划定了公私合作型行政法兴起的因果前提。其核心推理逻辑是：社会转型需求→公私合作兴起→实践覆盖全领域全流程→需法律回应。</w:t>
      </w:r>
    </w:p>
    <w:p w14:paraId="330916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需求诱因（因）：改革开放后行政任务从单一秩序维护转向宏观调控、公共服务、生态保护等多元化，政府垄断治理面临资源不足、绩效不佳的双重困境。</w:t>
      </w:r>
    </w:p>
    <w:p w14:paraId="5CE7DB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实践兴起（果）：政府引入私人力量履行行政任务，形成“公私合作治理”模式，且呈现全景式特征。此时分横向的行政领域与纵向的行政过程两个方面分而述之。其一，横向领域覆盖给付行政与秩序行政，并以实例证明。如给付行政的基础设施特许、经营政府购买服务；秩序行政的警务辅助等。其二，纵向流程覆盖行政立法、执法与救济前中后三个环节。立法阶段第三方起草法规，解决政府主导立法的部门本位问题；执法阶段有奖举报、行政担保执行和解；救济阶段：行政复议和解、信访引入第三方调解。</w:t>
      </w:r>
    </w:p>
    <w:p w14:paraId="119B2F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导出问题（果）：实践中出现“公私合谋”“责任不清”“公法遁入私法”等争议，传统行政法未覆盖此类新形态，亟需专门法律框架规制。</w:t>
      </w:r>
    </w:p>
    <w:p w14:paraId="217DF6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2" w:firstLineChars="200"/>
        <w:textAlignment w:val="auto"/>
        <w:rPr>
          <w:rFonts w:hint="default" w:ascii="Times New Roman" w:hAnsi="Times New Roman" w:eastAsia="宋体"/>
          <w:b/>
          <w:bCs/>
          <w:sz w:val="24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4"/>
          <w:lang w:val="en-US" w:eastAsia="zh-CN"/>
        </w:rPr>
        <w:t>第三，文章第二部分对传统行政法与合作型行政法的矛盾进行拆解。其</w:t>
      </w:r>
      <w:r>
        <w:rPr>
          <w:rFonts w:hint="default" w:ascii="Times New Roman" w:hAnsi="Times New Roman" w:eastAsia="宋体"/>
          <w:b/>
          <w:bCs/>
          <w:sz w:val="24"/>
          <w:lang w:val="en-US" w:eastAsia="zh-CN"/>
        </w:rPr>
        <w:t>核心推理</w:t>
      </w:r>
      <w:r>
        <w:rPr>
          <w:rFonts w:hint="eastAsia" w:ascii="Times New Roman" w:hAnsi="Times New Roman" w:eastAsia="宋体"/>
          <w:b/>
          <w:bCs/>
          <w:sz w:val="24"/>
          <w:lang w:val="en-US" w:eastAsia="zh-CN"/>
        </w:rPr>
        <w:t>逻辑是：</w:t>
      </w:r>
      <w:r>
        <w:rPr>
          <w:rFonts w:hint="default" w:ascii="Times New Roman" w:hAnsi="Times New Roman" w:eastAsia="宋体"/>
          <w:b/>
          <w:bCs/>
          <w:sz w:val="24"/>
          <w:lang w:val="en-US" w:eastAsia="zh-CN"/>
        </w:rPr>
        <w:t>传统行政法立足公私对立</w:t>
      </w:r>
      <w:r>
        <w:rPr>
          <w:rFonts w:hint="eastAsia" w:ascii="Times New Roman" w:hAnsi="Times New Roman" w:eastAsia="宋体"/>
          <w:b/>
          <w:bCs/>
          <w:sz w:val="24"/>
          <w:lang w:val="en-US" w:eastAsia="zh-CN"/>
        </w:rPr>
        <w:t>→</w:t>
      </w:r>
      <w:r>
        <w:rPr>
          <w:rFonts w:hint="default" w:ascii="Times New Roman" w:hAnsi="Times New Roman" w:eastAsia="宋体"/>
          <w:b/>
          <w:bCs/>
          <w:sz w:val="24"/>
          <w:lang w:val="en-US" w:eastAsia="zh-CN"/>
        </w:rPr>
        <w:t>合作行政立足公私协作</w:t>
      </w:r>
      <w:r>
        <w:rPr>
          <w:rFonts w:hint="eastAsia" w:ascii="Times New Roman" w:hAnsi="Times New Roman" w:eastAsia="宋体"/>
          <w:b/>
          <w:bCs/>
          <w:sz w:val="24"/>
          <w:lang w:val="en-US" w:eastAsia="zh-CN"/>
        </w:rPr>
        <w:t>→</w:t>
      </w:r>
      <w:r>
        <w:rPr>
          <w:rFonts w:hint="default" w:ascii="Times New Roman" w:hAnsi="Times New Roman" w:eastAsia="宋体"/>
          <w:b/>
          <w:bCs/>
          <w:sz w:val="24"/>
          <w:lang w:val="en-US" w:eastAsia="zh-CN"/>
        </w:rPr>
        <w:t>二者在观念、主体、行为上全面不兼容</w:t>
      </w:r>
      <w:r>
        <w:rPr>
          <w:rFonts w:hint="eastAsia" w:ascii="Times New Roman" w:hAnsi="Times New Roman" w:eastAsia="宋体"/>
          <w:b/>
          <w:bCs/>
          <w:sz w:val="24"/>
          <w:lang w:val="en-US" w:eastAsia="zh-CN"/>
        </w:rPr>
        <w:t>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01"/>
        <w:gridCol w:w="2659"/>
        <w:gridCol w:w="2280"/>
        <w:gridCol w:w="2280"/>
      </w:tblGrid>
      <w:tr w14:paraId="25EFE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01" w:type="dxa"/>
          </w:tcPr>
          <w:p w14:paraId="7798EDB2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0" w:firstLineChars="200"/>
              <w:textAlignment w:val="auto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659" w:type="dxa"/>
          </w:tcPr>
          <w:p w14:paraId="598A9B4E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传统行政法</w:t>
            </w:r>
          </w:p>
        </w:tc>
        <w:tc>
          <w:tcPr>
            <w:tcW w:w="2280" w:type="dxa"/>
          </w:tcPr>
          <w:p w14:paraId="1A6F995E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合作型行政法</w:t>
            </w:r>
          </w:p>
        </w:tc>
        <w:tc>
          <w:tcPr>
            <w:tcW w:w="2280" w:type="dxa"/>
          </w:tcPr>
          <w:p w14:paraId="2C7BC9A3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核心冲突</w:t>
            </w:r>
          </w:p>
        </w:tc>
      </w:tr>
      <w:tr w14:paraId="2AD6A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01" w:type="dxa"/>
          </w:tcPr>
          <w:p w14:paraId="6C753DAD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观念与原则对立</w:t>
            </w:r>
          </w:p>
        </w:tc>
        <w:tc>
          <w:tcPr>
            <w:tcW w:w="2659" w:type="dxa"/>
          </w:tcPr>
          <w:p w14:paraId="68002E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  <w:t>核心是合法性控制，原则是依法行政</w:t>
            </w: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  <w:t>依赖立法授权</w:t>
            </w: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、</w:t>
            </w:r>
            <w:r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  <w:t>行政执行</w:t>
            </w: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、</w:t>
            </w:r>
            <w:r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  <w:t>司法审查”流程</w:t>
            </w:r>
          </w:p>
        </w:tc>
        <w:tc>
          <w:tcPr>
            <w:tcW w:w="2280" w:type="dxa"/>
          </w:tcPr>
          <w:p w14:paraId="538D6E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  <w:t>核心是行政任务有效履行，需 协商灵活而非机械合规</w:t>
            </w:r>
          </w:p>
        </w:tc>
        <w:tc>
          <w:tcPr>
            <w:tcW w:w="2280" w:type="dxa"/>
          </w:tcPr>
          <w:p w14:paraId="0AA6EF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  <w:t>传统合法性优先无法适配合作行政有效性优先，如政府购买服务中，过度强调法定程序会降低服务供给效率</w:t>
            </w:r>
          </w:p>
        </w:tc>
      </w:tr>
      <w:tr w14:paraId="7DC35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01" w:type="dxa"/>
          </w:tcPr>
          <w:p w14:paraId="4DC6870B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  <w:t>关系与主体的对立</w:t>
            </w:r>
          </w:p>
        </w:tc>
        <w:tc>
          <w:tcPr>
            <w:tcW w:w="2659" w:type="dxa"/>
          </w:tcPr>
          <w:p w14:paraId="6B5868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  <w:t>主体是行政主体</w:t>
            </w: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与</w:t>
            </w:r>
            <w:r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  <w:t>行政相对人</w:t>
            </w: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之间的</w:t>
            </w:r>
            <w:r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  <w:t>二元对立，行政机关是唯一管理中心，权力自上而下单向运行</w:t>
            </w:r>
          </w:p>
        </w:tc>
        <w:tc>
          <w:tcPr>
            <w:tcW w:w="2280" w:type="dxa"/>
          </w:tcPr>
          <w:p w14:paraId="1ABC7DD6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  <w:t>主体是行政主体</w:t>
            </w: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、</w:t>
            </w:r>
            <w:r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  <w:t>私人部门</w:t>
            </w: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、</w:t>
            </w:r>
            <w:r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  <w:t>行政相对人三角关系，私人是伙伴而非 服从者，权力多向互动</w:t>
            </w:r>
          </w:p>
        </w:tc>
        <w:tc>
          <w:tcPr>
            <w:tcW w:w="2280" w:type="dxa"/>
          </w:tcPr>
          <w:p w14:paraId="75CB9D39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  <w:t>传统行政主体理论仅关注权力行使者，无法界定私人部门的法律地位</w:t>
            </w:r>
          </w:p>
        </w:tc>
      </w:tr>
      <w:tr w14:paraId="7B143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634" w:hRule="atLeast"/>
        </w:trPr>
        <w:tc>
          <w:tcPr>
            <w:tcW w:w="1301" w:type="dxa"/>
          </w:tcPr>
          <w:p w14:paraId="653A2086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  <w:t>行为与责任的对立</w:t>
            </w:r>
          </w:p>
        </w:tc>
        <w:tc>
          <w:tcPr>
            <w:tcW w:w="2659" w:type="dxa"/>
          </w:tcPr>
          <w:p w14:paraId="3E3F526D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  <w:t>核心是行政行为，偏重 结果导向，责任追究依赖司法审查</w:t>
            </w:r>
          </w:p>
        </w:tc>
        <w:tc>
          <w:tcPr>
            <w:tcW w:w="2280" w:type="dxa"/>
          </w:tcPr>
          <w:p w14:paraId="1F954C57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  <w:t>核心是未型式化行为，偏重过程导向</w:t>
            </w:r>
          </w:p>
        </w:tc>
        <w:tc>
          <w:tcPr>
            <w:tcW w:w="2280" w:type="dxa"/>
          </w:tcPr>
          <w:p w14:paraId="36AEF720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  <w:t>传统行政行为理论无法涵盖行政契约等新形态，若强行扩大行政行为范围，会导致概念崩解；传统司法审查无法解决公私合作中的责任分担问题</w:t>
            </w:r>
          </w:p>
        </w:tc>
      </w:tr>
    </w:tbl>
    <w:p w14:paraId="6B84B8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2" w:firstLineChars="200"/>
        <w:textAlignment w:val="auto"/>
        <w:rPr>
          <w:rFonts w:hint="default" w:ascii="Times New Roman" w:hAnsi="Times New Roman" w:eastAsia="宋体"/>
          <w:sz w:val="24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4"/>
          <w:lang w:val="en-US" w:eastAsia="zh-CN"/>
        </w:rPr>
        <w:t>第四，文章第三部分进行了理论建构。核心推理逻辑是：针对三重冲突→引入新原则、新范畴→奠定理论基础。</w:t>
      </w:r>
      <w:r>
        <w:rPr>
          <w:rFonts w:hint="eastAsia" w:ascii="Times New Roman" w:hAnsi="Times New Roman" w:eastAsia="宋体"/>
          <w:sz w:val="24"/>
          <w:lang w:val="en-US" w:eastAsia="zh-CN"/>
        </w:rPr>
        <w:t>借助辅助性新原则回应上述观念冲突即合法性与有效性之间的冲突；借助合作原则论证行政任务需国家、社会、个人共担；通过新范畴解决公私合作型行政法可能导致的问题，如运用“国家保留”使核心行政任务必须由国家亲自履行，排除私人参与，运用“国家担保”使私人履行行政任务时，国家需担保其合法性、公共性，且承担兜底责任。</w:t>
      </w:r>
    </w:p>
    <w:p w14:paraId="7FE9EDD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2" w:firstLineChars="200"/>
        <w:textAlignment w:val="auto"/>
        <w:rPr>
          <w:rFonts w:hint="eastAsia" w:ascii="Times New Roman" w:hAnsi="Times New Roman" w:eastAsia="宋体"/>
          <w:sz w:val="24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4"/>
          <w:lang w:val="en-US" w:eastAsia="zh-CN"/>
        </w:rPr>
        <w:t>第五，文章第四部分借助传统行政法学理论实现创新。核心推理：传统行政法构建了主体论、行为论、救济论的理论基础→公私合作型行政法具有新原则、新范畴→重构行政法核心制度→每个制度均对应解决一个具体冲突。</w:t>
      </w:r>
    </w:p>
    <w:p w14:paraId="2F1A89B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其一，主体论重述，解决三角关系中主体地位不清”问题，构建以行政任务履行替代行政权力行使作为行政主体认定依据，在三角关系中明确行政机关是授权者/监督者，私人部门是受托者/执行者，行政相对人是服务受益者”。导向的结果就是行政组织法扩展：将私法组织纳入行政组织法研究，适配多层级、扁平化的合作结构。其二，行为论重述，解决未型式化行为无规范问题。文章提出新增中性行为，将行政和解、约谈、评估纳入行为体系，形成刚性、柔性、中性的行政手段；有限承认行为形式选择自由。其三，救济论重述，解决司法审查无力问题。弱化司法审查中心地位，转向行政面相为主导，构建多元化救济体系：行政复议为主渠道、行政调解分流、协商谈判补充；坚持“实质性化解纠纷”而非单纯撤销行政行为。</w:t>
      </w:r>
    </w:p>
    <w:p w14:paraId="1F2FF81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default" w:ascii="Times New Roman" w:hAnsi="Times New Roman" w:eastAsia="宋体"/>
          <w:sz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总结起来，文章的每一部分的论证都是相对应的，因此前后的逻辑衔接是更紧密的，推理链条也较为顺畅。相较于其他对策建议型文章，文章的建议部分并非泛泛而谈，可以适用于其他任何问题，而是与前文所述相匹配，遵循实践有依据→冲突有具体表现→理论有针对性→制度有可操作性的层层递进的逻辑结构，驾驭此中观部门行政法的写作，避免空泛理论，确保逻辑的严谨性和现实回应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432431"/>
    <w:rsid w:val="20C02708"/>
    <w:rsid w:val="26B76B93"/>
    <w:rsid w:val="3B223EA3"/>
    <w:rsid w:val="472965B9"/>
    <w:rsid w:val="55432431"/>
    <w:rsid w:val="56AB0D99"/>
    <w:rsid w:val="57DE6F4C"/>
    <w:rsid w:val="68224C33"/>
    <w:rsid w:val="6CA420BB"/>
    <w:rsid w:val="796E7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78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2026-01-11T10:43:00Z</dcterms:created>
  <dc:creator>四氯化碳的晖先生</dc:creator>
  <cp:lastModifiedBy>四氯化碳的晖先生</cp:lastModifiedBy>
  <dcterms:modified xsi:type="dcterms:W3CDTF">2026-01-11T12:37:37Z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3C22B7B0DBEC48B0AF0357E82645F853_11</vt:lpwstr>
  </property>
  <property fmtid="{D5CDD505-2E9C-101B-9397-08002B2CF9AE}" pid="4" name="KSOTemplateDocerSaveRecord">
    <vt:lpwstr>eyJoZGlkIjoiMzEwNTM5NzYwMDRjMzkwZTVkZjY2ODkwMGIxNGU0OTUiLCJ1c2VySWQiOiI3NzIzMzQ4MjEifQ==</vt:lpwstr>
  </property>
</Properties>
</file>