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BF0C" w14:textId="32E6E7B8" w:rsidR="00473C81" w:rsidRDefault="00473C81" w:rsidP="00E32DF8">
      <w:pPr>
        <w:pStyle w:val="a7"/>
        <w:spacing w:before="156" w:after="156"/>
        <w:ind w:firstLine="562"/>
      </w:pPr>
      <w:r>
        <w:rPr>
          <w:rFonts w:hint="eastAsia"/>
        </w:rPr>
        <w:t>蒋红珍：《比例原则位阶秩序的司法适用》，载《法学研究》</w:t>
      </w:r>
      <w:r>
        <w:rPr>
          <w:rFonts w:hint="eastAsia"/>
        </w:rPr>
        <w:t>2020</w:t>
      </w:r>
      <w:r>
        <w:rPr>
          <w:rFonts w:hint="eastAsia"/>
        </w:rPr>
        <w:t>年第</w:t>
      </w:r>
      <w:r>
        <w:rPr>
          <w:rFonts w:hint="eastAsia"/>
        </w:rPr>
        <w:t>4</w:t>
      </w:r>
      <w:r>
        <w:rPr>
          <w:rFonts w:hint="eastAsia"/>
        </w:rPr>
        <w:t>期。</w:t>
      </w:r>
    </w:p>
    <w:p w14:paraId="1CC1124C" w14:textId="61CC95C0" w:rsidR="00E32DF8" w:rsidRPr="00E32DF8" w:rsidRDefault="00E32DF8" w:rsidP="00E32DF8">
      <w:pPr>
        <w:pStyle w:val="a7"/>
        <w:spacing w:before="156" w:after="156"/>
        <w:ind w:firstLine="562"/>
      </w:pPr>
      <w:r w:rsidRPr="00E32DF8">
        <w:rPr>
          <w:rFonts w:hint="eastAsia"/>
        </w:rPr>
        <w:t>一、</w:t>
      </w:r>
      <w:r w:rsidR="00473C81">
        <w:rPr>
          <w:rFonts w:hint="eastAsia"/>
        </w:rPr>
        <w:t>总体评价</w:t>
      </w:r>
    </w:p>
    <w:p w14:paraId="7D8A5F66" w14:textId="35922404" w:rsidR="00E01EF9" w:rsidRPr="00E01EF9"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本文是一篇群案研究的代表性论文。作者系统梳理了最高人民法院自</w:t>
      </w:r>
      <w:r w:rsidRPr="00E01EF9">
        <w:rPr>
          <w:rFonts w:ascii="Times New Roman" w:eastAsia="宋体" w:hAnsi="Times New Roman"/>
        </w:rPr>
        <w:t>1999</w:t>
      </w:r>
      <w:r w:rsidRPr="00E01EF9">
        <w:rPr>
          <w:rFonts w:ascii="Times New Roman" w:eastAsia="宋体" w:hAnsi="Times New Roman"/>
        </w:rPr>
        <w:t>年</w:t>
      </w:r>
      <w:r w:rsidRPr="00E01EF9">
        <w:rPr>
          <w:rFonts w:ascii="Times New Roman" w:eastAsia="宋体" w:hAnsi="Times New Roman"/>
        </w:rPr>
        <w:t>“</w:t>
      </w:r>
      <w:r w:rsidRPr="00E01EF9">
        <w:rPr>
          <w:rFonts w:ascii="Times New Roman" w:eastAsia="宋体" w:hAnsi="Times New Roman"/>
        </w:rPr>
        <w:t>汇丰公司案</w:t>
      </w:r>
      <w:r w:rsidRPr="00E01EF9">
        <w:rPr>
          <w:rFonts w:ascii="Times New Roman" w:eastAsia="宋体" w:hAnsi="Times New Roman"/>
        </w:rPr>
        <w:t>”</w:t>
      </w:r>
      <w:r w:rsidRPr="00E01EF9">
        <w:rPr>
          <w:rFonts w:ascii="Times New Roman" w:eastAsia="宋体" w:hAnsi="Times New Roman"/>
        </w:rPr>
        <w:t>以来运用比例原则的整体图景，并通过类型化建构，力图为未来司法实践提供可资借鉴的分析框架。该文发表于《法学研究》</w:t>
      </w:r>
      <w:r w:rsidRPr="00E01EF9">
        <w:rPr>
          <w:rFonts w:ascii="Times New Roman" w:eastAsia="宋体" w:hAnsi="Times New Roman"/>
        </w:rPr>
        <w:t>2020</w:t>
      </w:r>
      <w:r w:rsidRPr="00E01EF9">
        <w:rPr>
          <w:rFonts w:ascii="Times New Roman" w:eastAsia="宋体" w:hAnsi="Times New Roman"/>
        </w:rPr>
        <w:t>年第</w:t>
      </w:r>
      <w:r w:rsidRPr="00E01EF9">
        <w:rPr>
          <w:rFonts w:ascii="Times New Roman" w:eastAsia="宋体" w:hAnsi="Times New Roman"/>
        </w:rPr>
        <w:t>4</w:t>
      </w:r>
      <w:r w:rsidRPr="00E01EF9">
        <w:rPr>
          <w:rFonts w:ascii="Times New Roman" w:eastAsia="宋体" w:hAnsi="Times New Roman"/>
        </w:rPr>
        <w:t>期，截至</w:t>
      </w:r>
      <w:r w:rsidRPr="00E01EF9">
        <w:rPr>
          <w:rFonts w:ascii="Times New Roman" w:eastAsia="宋体" w:hAnsi="Times New Roman"/>
        </w:rPr>
        <w:t>2026</w:t>
      </w:r>
      <w:r w:rsidRPr="00E01EF9">
        <w:rPr>
          <w:rFonts w:ascii="Times New Roman" w:eastAsia="宋体" w:hAnsi="Times New Roman"/>
        </w:rPr>
        <w:t>年</w:t>
      </w:r>
      <w:r w:rsidRPr="00E01EF9">
        <w:rPr>
          <w:rFonts w:ascii="Times New Roman" w:eastAsia="宋体" w:hAnsi="Times New Roman"/>
        </w:rPr>
        <w:t>1</w:t>
      </w:r>
      <w:r w:rsidRPr="00E01EF9">
        <w:rPr>
          <w:rFonts w:ascii="Times New Roman" w:eastAsia="宋体" w:hAnsi="Times New Roman"/>
        </w:rPr>
        <w:t>月</w:t>
      </w:r>
      <w:r w:rsidRPr="00E01EF9">
        <w:rPr>
          <w:rFonts w:ascii="Times New Roman" w:eastAsia="宋体" w:hAnsi="Times New Roman"/>
        </w:rPr>
        <w:t>14</w:t>
      </w:r>
      <w:r w:rsidRPr="00E01EF9">
        <w:rPr>
          <w:rFonts w:ascii="Times New Roman" w:eastAsia="宋体" w:hAnsi="Times New Roman"/>
        </w:rPr>
        <w:t>日，被引次数已达一百六十次。</w:t>
      </w:r>
    </w:p>
    <w:p w14:paraId="78FA288A" w14:textId="48694A08" w:rsidR="0049320E" w:rsidRPr="00E01EF9"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与当前法学界较为常见的</w:t>
      </w:r>
      <w:r w:rsidRPr="00E01EF9">
        <w:rPr>
          <w:rFonts w:ascii="Times New Roman" w:eastAsia="宋体" w:hAnsi="Times New Roman"/>
        </w:rPr>
        <w:t>“</w:t>
      </w:r>
      <w:r w:rsidRPr="00E01EF9">
        <w:rPr>
          <w:rFonts w:ascii="Times New Roman" w:eastAsia="宋体" w:hAnsi="Times New Roman"/>
        </w:rPr>
        <w:t>对策论</w:t>
      </w:r>
      <w:r w:rsidRPr="00E01EF9">
        <w:rPr>
          <w:rFonts w:ascii="Times New Roman" w:eastAsia="宋体" w:hAnsi="Times New Roman"/>
        </w:rPr>
        <w:t>”</w:t>
      </w:r>
      <w:r w:rsidRPr="00E01EF9">
        <w:rPr>
          <w:rFonts w:ascii="Times New Roman" w:eastAsia="宋体" w:hAnsi="Times New Roman"/>
        </w:rPr>
        <w:t>（即提出问题、分析成因、提出解决方案的三段论结构）和</w:t>
      </w:r>
      <w:r w:rsidRPr="00E01EF9">
        <w:rPr>
          <w:rFonts w:ascii="Times New Roman" w:eastAsia="宋体" w:hAnsi="Times New Roman"/>
        </w:rPr>
        <w:t>“</w:t>
      </w:r>
      <w:r w:rsidRPr="00E01EF9">
        <w:rPr>
          <w:rFonts w:ascii="Times New Roman" w:eastAsia="宋体" w:hAnsi="Times New Roman"/>
        </w:rPr>
        <w:t>规范论</w:t>
      </w:r>
      <w:r w:rsidRPr="00E01EF9">
        <w:rPr>
          <w:rFonts w:ascii="Times New Roman" w:eastAsia="宋体" w:hAnsi="Times New Roman"/>
        </w:rPr>
        <w:t>”</w:t>
      </w:r>
      <w:r w:rsidRPr="00E01EF9">
        <w:rPr>
          <w:rFonts w:ascii="Times New Roman" w:eastAsia="宋体" w:hAnsi="Times New Roman"/>
        </w:rPr>
        <w:t>（即围绕某一规范展开沿革、内涵与变迁的系统梳理）研究路径不同，本文更倾向于从</w:t>
      </w:r>
      <w:r w:rsidRPr="00E01EF9">
        <w:rPr>
          <w:rFonts w:ascii="Times New Roman" w:eastAsia="宋体" w:hAnsi="Times New Roman"/>
        </w:rPr>
        <w:t>“</w:t>
      </w:r>
      <w:r w:rsidRPr="00E01EF9">
        <w:rPr>
          <w:rFonts w:ascii="Times New Roman" w:eastAsia="宋体" w:hAnsi="Times New Roman"/>
        </w:rPr>
        <w:t>规范之内</w:t>
      </w:r>
      <w:r w:rsidRPr="00E01EF9">
        <w:rPr>
          <w:rFonts w:ascii="Times New Roman" w:eastAsia="宋体" w:hAnsi="Times New Roman"/>
        </w:rPr>
        <w:t>”</w:t>
      </w:r>
      <w:r w:rsidRPr="00E01EF9">
        <w:rPr>
          <w:rFonts w:ascii="Times New Roman" w:eastAsia="宋体" w:hAnsi="Times New Roman"/>
        </w:rPr>
        <w:t>与</w:t>
      </w:r>
      <w:r w:rsidRPr="00E01EF9">
        <w:rPr>
          <w:rFonts w:ascii="Times New Roman" w:eastAsia="宋体" w:hAnsi="Times New Roman"/>
        </w:rPr>
        <w:t>“</w:t>
      </w:r>
      <w:r w:rsidRPr="00E01EF9">
        <w:rPr>
          <w:rFonts w:ascii="Times New Roman" w:eastAsia="宋体" w:hAnsi="Times New Roman"/>
        </w:rPr>
        <w:t>规范之外</w:t>
      </w:r>
      <w:r w:rsidRPr="00E01EF9">
        <w:rPr>
          <w:rFonts w:ascii="Times New Roman" w:eastAsia="宋体" w:hAnsi="Times New Roman"/>
        </w:rPr>
        <w:t>”</w:t>
      </w:r>
      <w:r w:rsidRPr="00E01EF9">
        <w:rPr>
          <w:rFonts w:ascii="Times New Roman" w:eastAsia="宋体" w:hAnsi="Times New Roman"/>
        </w:rPr>
        <w:t>的双重视角，揭示比例原则作为司法评价工具在裁判中的实际运作方式。文章以典型案例作为论证支点，不仅增强了说理的具体性，也提升了整体论证的说服力，使讨论能够落到实处，更易为司法实践与学术研究所接受。正因如此，本文在内容与结构上呈现出较为鲜明的独特性，也更有利于在读研究生学习和效仿。</w:t>
      </w:r>
    </w:p>
    <w:p w14:paraId="35A0B3CC" w14:textId="0490735D" w:rsidR="0049320E" w:rsidRDefault="0049320E" w:rsidP="0049320E">
      <w:pPr>
        <w:pStyle w:val="a7"/>
        <w:spacing w:before="156" w:after="156"/>
        <w:ind w:firstLine="562"/>
      </w:pPr>
      <w:r>
        <w:rPr>
          <w:rFonts w:hint="eastAsia"/>
        </w:rPr>
        <w:t>二、推理逻辑</w:t>
      </w:r>
    </w:p>
    <w:p w14:paraId="06B91E32" w14:textId="2D863477" w:rsidR="008315EB" w:rsidRDefault="008315EB" w:rsidP="00473C81">
      <w:pPr>
        <w:spacing w:beforeLines="50" w:before="156" w:afterLines="50" w:after="156"/>
        <w:ind w:firstLine="420"/>
        <w:rPr>
          <w:rFonts w:ascii="Times New Roman" w:eastAsia="宋体" w:hAnsi="Times New Roman"/>
        </w:rPr>
      </w:pPr>
      <w:r>
        <w:rPr>
          <w:rFonts w:ascii="Times New Roman" w:eastAsia="宋体" w:hAnsi="Times New Roman" w:hint="eastAsia"/>
        </w:rPr>
        <w:t>本文的逻辑是非常简明和清晰的。主要分为三个部分：</w:t>
      </w:r>
      <w:r>
        <w:rPr>
          <w:rFonts w:ascii="Times New Roman" w:eastAsia="宋体" w:hAnsi="Times New Roman" w:hint="eastAsia"/>
        </w:rPr>
        <w:t xml:space="preserve">1. </w:t>
      </w:r>
      <w:r>
        <w:rPr>
          <w:rFonts w:ascii="Times New Roman" w:eastAsia="宋体" w:hAnsi="Times New Roman" w:hint="eastAsia"/>
        </w:rPr>
        <w:t>位阶秩序在司法适用中的类型化；</w:t>
      </w:r>
      <w:r>
        <w:rPr>
          <w:rFonts w:ascii="Times New Roman" w:eastAsia="宋体" w:hAnsi="Times New Roman" w:hint="eastAsia"/>
        </w:rPr>
        <w:t>2.</w:t>
      </w:r>
      <w:r>
        <w:rPr>
          <w:rFonts w:ascii="Times New Roman" w:eastAsia="宋体" w:hAnsi="Times New Roman" w:hint="eastAsia"/>
        </w:rPr>
        <w:t>剖析这种适用的内在逻辑；</w:t>
      </w:r>
      <w:r>
        <w:rPr>
          <w:rFonts w:ascii="Times New Roman" w:eastAsia="宋体" w:hAnsi="Times New Roman" w:hint="eastAsia"/>
        </w:rPr>
        <w:t>3.</w:t>
      </w:r>
      <w:r>
        <w:rPr>
          <w:rFonts w:ascii="Times New Roman" w:eastAsia="宋体" w:hAnsi="Times New Roman" w:hint="eastAsia"/>
        </w:rPr>
        <w:t>分析这种适用的外在成因。由此，文章</w:t>
      </w:r>
      <w:r w:rsidR="00545B97">
        <w:rPr>
          <w:rFonts w:ascii="Times New Roman" w:eastAsia="宋体" w:hAnsi="Times New Roman" w:hint="eastAsia"/>
        </w:rPr>
        <w:t>整体</w:t>
      </w:r>
      <w:r>
        <w:rPr>
          <w:rFonts w:ascii="Times New Roman" w:eastAsia="宋体" w:hAnsi="Times New Roman" w:hint="eastAsia"/>
        </w:rPr>
        <w:t>形成了一个</w:t>
      </w:r>
      <w:r w:rsidR="00545B97">
        <w:rPr>
          <w:rFonts w:ascii="Times New Roman" w:eastAsia="宋体" w:hAnsi="Times New Roman" w:hint="eastAsia"/>
        </w:rPr>
        <w:t>三维并列</w:t>
      </w:r>
      <w:r>
        <w:rPr>
          <w:rFonts w:ascii="Times New Roman" w:eastAsia="宋体" w:hAnsi="Times New Roman" w:hint="eastAsia"/>
        </w:rPr>
        <w:t>的结构，重在揭示法院在适用比例原则子原则这一问题上的现象和原因。</w:t>
      </w:r>
      <w:r w:rsidR="00545B97">
        <w:rPr>
          <w:rFonts w:ascii="Times New Roman" w:eastAsia="宋体" w:hAnsi="Times New Roman" w:hint="eastAsia"/>
        </w:rPr>
        <w:t>整体来看，本文的推理逻辑如下：</w:t>
      </w:r>
    </w:p>
    <w:p w14:paraId="28A798BE" w14:textId="77777777" w:rsidR="00E01EF9" w:rsidRPr="00E01EF9"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首先，本文所立足的理论假设在于，比例原则作为源自德国的</w:t>
      </w:r>
      <w:r w:rsidRPr="00E01EF9">
        <w:rPr>
          <w:rFonts w:ascii="Times New Roman" w:eastAsia="宋体" w:hAnsi="Times New Roman"/>
        </w:rPr>
        <w:t>“</w:t>
      </w:r>
      <w:r w:rsidRPr="00E01EF9">
        <w:rPr>
          <w:rFonts w:ascii="Times New Roman" w:eastAsia="宋体" w:hAnsi="Times New Roman"/>
        </w:rPr>
        <w:t>帝王原则</w:t>
      </w:r>
      <w:r w:rsidRPr="00E01EF9">
        <w:rPr>
          <w:rFonts w:ascii="Times New Roman" w:eastAsia="宋体" w:hAnsi="Times New Roman"/>
        </w:rPr>
        <w:t>”</w:t>
      </w:r>
      <w:r w:rsidRPr="00E01EF9">
        <w:rPr>
          <w:rFonts w:ascii="Times New Roman" w:eastAsia="宋体" w:hAnsi="Times New Roman"/>
        </w:rPr>
        <w:t>，其原初适用结构应当遵循</w:t>
      </w:r>
      <w:r w:rsidRPr="00E01EF9">
        <w:rPr>
          <w:rFonts w:ascii="Times New Roman" w:eastAsia="宋体" w:hAnsi="Times New Roman"/>
        </w:rPr>
        <w:t>“</w:t>
      </w:r>
      <w:r w:rsidRPr="00E01EF9">
        <w:rPr>
          <w:rFonts w:ascii="Times New Roman" w:eastAsia="宋体" w:hAnsi="Times New Roman"/>
        </w:rPr>
        <w:t>适当性审查</w:t>
      </w:r>
      <w:r w:rsidRPr="00E01EF9">
        <w:rPr>
          <w:rFonts w:ascii="Times New Roman" w:eastAsia="宋体" w:hAnsi="Times New Roman"/>
        </w:rPr>
        <w:t>—</w:t>
      </w:r>
      <w:r w:rsidRPr="00E01EF9">
        <w:rPr>
          <w:rFonts w:ascii="Times New Roman" w:eastAsia="宋体" w:hAnsi="Times New Roman"/>
        </w:rPr>
        <w:t>必要性审查</w:t>
      </w:r>
      <w:r w:rsidRPr="00E01EF9">
        <w:rPr>
          <w:rFonts w:ascii="Times New Roman" w:eastAsia="宋体" w:hAnsi="Times New Roman"/>
        </w:rPr>
        <w:t>—</w:t>
      </w:r>
      <w:r w:rsidRPr="00E01EF9">
        <w:rPr>
          <w:rFonts w:ascii="Times New Roman" w:eastAsia="宋体" w:hAnsi="Times New Roman"/>
        </w:rPr>
        <w:t>均衡性审查</w:t>
      </w:r>
      <w:r w:rsidRPr="00E01EF9">
        <w:rPr>
          <w:rFonts w:ascii="Times New Roman" w:eastAsia="宋体" w:hAnsi="Times New Roman"/>
        </w:rPr>
        <w:t>”</w:t>
      </w:r>
      <w:r w:rsidRPr="00E01EF9">
        <w:rPr>
          <w:rFonts w:ascii="Times New Roman" w:eastAsia="宋体" w:hAnsi="Times New Roman"/>
        </w:rPr>
        <w:t>的位阶秩序。换言之，各子原则之间应当构成严格的先后顺序，一旦前一阶段的审查未获通过，原则上即无须进入后一阶段。然而，这一理论假设在实践中似乎与具体案例之间存在一定张力。</w:t>
      </w:r>
    </w:p>
    <w:p w14:paraId="409B73B6" w14:textId="7402FADD" w:rsidR="00E01EF9" w:rsidRPr="00E01EF9"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基于此，作者通过对最高人民法院相关判例的类型化梳理，指出该理论假设在当前司法环境中并未得到</w:t>
      </w:r>
      <w:r>
        <w:rPr>
          <w:rFonts w:ascii="Times New Roman" w:eastAsia="宋体" w:hAnsi="Times New Roman" w:hint="eastAsia"/>
        </w:rPr>
        <w:t>贯彻</w:t>
      </w:r>
      <w:r w:rsidRPr="00E01EF9">
        <w:rPr>
          <w:rFonts w:ascii="Times New Roman" w:eastAsia="宋体" w:hAnsi="Times New Roman"/>
        </w:rPr>
        <w:t>。在此基础上，作者提炼出三种比例原则的司法适用模型，即</w:t>
      </w:r>
      <w:r w:rsidRPr="00E01EF9">
        <w:rPr>
          <w:rFonts w:ascii="Times New Roman" w:eastAsia="宋体" w:hAnsi="Times New Roman"/>
        </w:rPr>
        <w:t>“</w:t>
      </w:r>
      <w:r w:rsidRPr="00E01EF9">
        <w:rPr>
          <w:rFonts w:ascii="Times New Roman" w:eastAsia="宋体" w:hAnsi="Times New Roman"/>
        </w:rPr>
        <w:t>全阶式适用</w:t>
      </w:r>
      <w:r w:rsidRPr="00E01EF9">
        <w:rPr>
          <w:rFonts w:ascii="Times New Roman" w:eastAsia="宋体" w:hAnsi="Times New Roman"/>
        </w:rPr>
        <w:t>”</w:t>
      </w:r>
      <w:r w:rsidRPr="00E01EF9">
        <w:rPr>
          <w:rFonts w:ascii="Times New Roman" w:eastAsia="宋体" w:hAnsi="Times New Roman"/>
        </w:rPr>
        <w:t>（完整遵循上述位阶秩序）、</w:t>
      </w:r>
      <w:r w:rsidRPr="00E01EF9">
        <w:rPr>
          <w:rFonts w:ascii="Times New Roman" w:eastAsia="宋体" w:hAnsi="Times New Roman"/>
        </w:rPr>
        <w:t>“</w:t>
      </w:r>
      <w:r w:rsidRPr="00E01EF9">
        <w:rPr>
          <w:rFonts w:ascii="Times New Roman" w:eastAsia="宋体" w:hAnsi="Times New Roman"/>
        </w:rPr>
        <w:t>截取式适用</w:t>
      </w:r>
      <w:r w:rsidRPr="00E01EF9">
        <w:rPr>
          <w:rFonts w:ascii="Times New Roman" w:eastAsia="宋体" w:hAnsi="Times New Roman"/>
        </w:rPr>
        <w:t>”</w:t>
      </w:r>
      <w:r w:rsidRPr="00E01EF9">
        <w:rPr>
          <w:rFonts w:ascii="Times New Roman" w:eastAsia="宋体" w:hAnsi="Times New Roman"/>
        </w:rPr>
        <w:t>（仅诉诸必要性审查）以及</w:t>
      </w:r>
      <w:r w:rsidRPr="00E01EF9">
        <w:rPr>
          <w:rFonts w:ascii="Times New Roman" w:eastAsia="宋体" w:hAnsi="Times New Roman"/>
        </w:rPr>
        <w:t>“</w:t>
      </w:r>
      <w:r w:rsidRPr="00E01EF9">
        <w:rPr>
          <w:rFonts w:ascii="Times New Roman" w:eastAsia="宋体" w:hAnsi="Times New Roman"/>
        </w:rPr>
        <w:t>抽象式适用</w:t>
      </w:r>
      <w:r w:rsidRPr="00E01EF9">
        <w:rPr>
          <w:rFonts w:ascii="Times New Roman" w:eastAsia="宋体" w:hAnsi="Times New Roman"/>
        </w:rPr>
        <w:t>”</w:t>
      </w:r>
      <w:r w:rsidRPr="00E01EF9">
        <w:rPr>
          <w:rFonts w:ascii="Times New Roman" w:eastAsia="宋体" w:hAnsi="Times New Roman"/>
        </w:rPr>
        <w:t>（淡化位阶秩序，仅援引一般比例原则进行利益衡量）。选取最高人民法院的判例作为分析样本，也使论文在代表性与一致性方面具有优势，有助于在一定程度上控制变量。</w:t>
      </w:r>
    </w:p>
    <w:p w14:paraId="12D596DC" w14:textId="5B47F588" w:rsidR="008315EB"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在此之后，作者进一步尝试分析上述三种适用方式形成的内在原因与外在条件。从内因来看，作者首先将</w:t>
      </w:r>
      <w:r w:rsidRPr="00E01EF9">
        <w:rPr>
          <w:rFonts w:ascii="Times New Roman" w:eastAsia="宋体" w:hAnsi="Times New Roman"/>
        </w:rPr>
        <w:t>“</w:t>
      </w:r>
      <w:r w:rsidRPr="00E01EF9">
        <w:rPr>
          <w:rFonts w:ascii="Times New Roman" w:eastAsia="宋体" w:hAnsi="Times New Roman"/>
        </w:rPr>
        <w:t>全阶式适用</w:t>
      </w:r>
      <w:r w:rsidRPr="00E01EF9">
        <w:rPr>
          <w:rFonts w:ascii="Times New Roman" w:eastAsia="宋体" w:hAnsi="Times New Roman"/>
        </w:rPr>
        <w:t>”</w:t>
      </w:r>
      <w:r w:rsidRPr="00E01EF9">
        <w:rPr>
          <w:rFonts w:ascii="Times New Roman" w:eastAsia="宋体" w:hAnsi="Times New Roman"/>
        </w:rPr>
        <w:t>予以剥离，认为该种适用方式与既有理论假设基本一致，因此并非分析重点。作者主要聚焦于</w:t>
      </w:r>
      <w:r w:rsidRPr="00E01EF9">
        <w:rPr>
          <w:rFonts w:ascii="Times New Roman" w:eastAsia="宋体" w:hAnsi="Times New Roman"/>
        </w:rPr>
        <w:t>“</w:t>
      </w:r>
      <w:r w:rsidRPr="00E01EF9">
        <w:rPr>
          <w:rFonts w:ascii="Times New Roman" w:eastAsia="宋体" w:hAnsi="Times New Roman"/>
        </w:rPr>
        <w:t>截取式适用</w:t>
      </w:r>
      <w:r w:rsidRPr="00E01EF9">
        <w:rPr>
          <w:rFonts w:ascii="Times New Roman" w:eastAsia="宋体" w:hAnsi="Times New Roman"/>
        </w:rPr>
        <w:t>”</w:t>
      </w:r>
      <w:r w:rsidRPr="00E01EF9">
        <w:rPr>
          <w:rFonts w:ascii="Times New Roman" w:eastAsia="宋体" w:hAnsi="Times New Roman"/>
        </w:rPr>
        <w:t>与</w:t>
      </w:r>
      <w:r w:rsidRPr="00E01EF9">
        <w:rPr>
          <w:rFonts w:ascii="Times New Roman" w:eastAsia="宋体" w:hAnsi="Times New Roman"/>
        </w:rPr>
        <w:t>“</w:t>
      </w:r>
      <w:r w:rsidRPr="00E01EF9">
        <w:rPr>
          <w:rFonts w:ascii="Times New Roman" w:eastAsia="宋体" w:hAnsi="Times New Roman"/>
        </w:rPr>
        <w:t>抽象式适用</w:t>
      </w:r>
      <w:r w:rsidRPr="00E01EF9">
        <w:rPr>
          <w:rFonts w:ascii="Times New Roman" w:eastAsia="宋体" w:hAnsi="Times New Roman"/>
        </w:rPr>
        <w:t>”</w:t>
      </w:r>
      <w:r w:rsidRPr="00E01EF9">
        <w:rPr>
          <w:rFonts w:ascii="Times New Roman" w:eastAsia="宋体" w:hAnsi="Times New Roman"/>
        </w:rPr>
        <w:t>这两种非常态的比例原则适用结构。其中，</w:t>
      </w:r>
      <w:r w:rsidRPr="00E01EF9">
        <w:rPr>
          <w:rFonts w:ascii="Times New Roman" w:eastAsia="宋体" w:hAnsi="Times New Roman"/>
        </w:rPr>
        <w:t>“</w:t>
      </w:r>
      <w:r w:rsidRPr="00E01EF9">
        <w:rPr>
          <w:rFonts w:ascii="Times New Roman" w:eastAsia="宋体" w:hAnsi="Times New Roman"/>
        </w:rPr>
        <w:t>截取式适用</w:t>
      </w:r>
      <w:r w:rsidRPr="00E01EF9">
        <w:rPr>
          <w:rFonts w:ascii="Times New Roman" w:eastAsia="宋体" w:hAnsi="Times New Roman"/>
        </w:rPr>
        <w:t>”</w:t>
      </w:r>
      <w:r w:rsidRPr="00E01EF9">
        <w:rPr>
          <w:rFonts w:ascii="Times New Roman" w:eastAsia="宋体" w:hAnsi="Times New Roman"/>
        </w:rPr>
        <w:t>被认为源于传统秩序行政语境中必要性原则所具有的独特规范意义，即必要性原则能够对行政侵害施加更为直接而强烈的约束力，因而更易为法院所采纳；而</w:t>
      </w:r>
      <w:r w:rsidRPr="00E01EF9">
        <w:rPr>
          <w:rFonts w:ascii="Times New Roman" w:eastAsia="宋体" w:hAnsi="Times New Roman"/>
        </w:rPr>
        <w:t>“</w:t>
      </w:r>
      <w:r w:rsidRPr="00E01EF9">
        <w:rPr>
          <w:rFonts w:ascii="Times New Roman" w:eastAsia="宋体" w:hAnsi="Times New Roman"/>
        </w:rPr>
        <w:t>抽象式适用</w:t>
      </w:r>
      <w:r w:rsidRPr="00E01EF9">
        <w:rPr>
          <w:rFonts w:ascii="Times New Roman" w:eastAsia="宋体" w:hAnsi="Times New Roman"/>
        </w:rPr>
        <w:t>”</w:t>
      </w:r>
      <w:r w:rsidRPr="00E01EF9">
        <w:rPr>
          <w:rFonts w:ascii="Times New Roman" w:eastAsia="宋体" w:hAnsi="Times New Roman"/>
        </w:rPr>
        <w:t>则在面对高度复杂的利益衡量情境时，具有更强</w:t>
      </w:r>
      <w:r>
        <w:rPr>
          <w:rFonts w:ascii="Times New Roman" w:eastAsia="宋体" w:hAnsi="Times New Roman" w:hint="eastAsia"/>
        </w:rPr>
        <w:t>的操作性</w:t>
      </w:r>
      <w:r w:rsidRPr="00E01EF9">
        <w:rPr>
          <w:rFonts w:ascii="Times New Roman" w:eastAsia="宋体" w:hAnsi="Times New Roman"/>
        </w:rPr>
        <w:t>。</w:t>
      </w:r>
    </w:p>
    <w:p w14:paraId="7FC8DAD3" w14:textId="73D09D02" w:rsidR="00E01EF9" w:rsidRPr="00E01EF9" w:rsidRDefault="00E01EF9" w:rsidP="00E01EF9">
      <w:pPr>
        <w:spacing w:beforeLines="50" w:before="156" w:afterLines="50" w:after="156"/>
        <w:ind w:firstLine="420"/>
        <w:rPr>
          <w:rFonts w:ascii="Times New Roman" w:eastAsia="宋体" w:hAnsi="Times New Roman"/>
        </w:rPr>
      </w:pPr>
      <w:r w:rsidRPr="00E01EF9">
        <w:rPr>
          <w:rFonts w:ascii="Times New Roman" w:eastAsia="宋体" w:hAnsi="Times New Roman"/>
        </w:rPr>
        <w:t>从外因来看，作者</w:t>
      </w:r>
      <w:r>
        <w:rPr>
          <w:rFonts w:ascii="Times New Roman" w:eastAsia="宋体" w:hAnsi="Times New Roman" w:hint="eastAsia"/>
        </w:rPr>
        <w:t>希望</w:t>
      </w:r>
      <w:r w:rsidRPr="00E01EF9">
        <w:rPr>
          <w:rFonts w:ascii="Times New Roman" w:eastAsia="宋体" w:hAnsi="Times New Roman"/>
        </w:rPr>
        <w:t>通过对样本数据的</w:t>
      </w:r>
      <w:r>
        <w:rPr>
          <w:rFonts w:ascii="Times New Roman" w:eastAsia="宋体" w:hAnsi="Times New Roman" w:hint="eastAsia"/>
        </w:rPr>
        <w:t>实证</w:t>
      </w:r>
      <w:r w:rsidRPr="00E01EF9">
        <w:rPr>
          <w:rFonts w:ascii="Times New Roman" w:eastAsia="宋体" w:hAnsi="Times New Roman"/>
        </w:rPr>
        <w:t>分析揭示出</w:t>
      </w:r>
      <w:r>
        <w:rPr>
          <w:rFonts w:ascii="Times New Roman" w:eastAsia="宋体" w:hAnsi="Times New Roman" w:hint="eastAsia"/>
        </w:rPr>
        <w:t>司法</w:t>
      </w:r>
      <w:r w:rsidRPr="00E01EF9">
        <w:rPr>
          <w:rFonts w:ascii="Times New Roman" w:eastAsia="宋体" w:hAnsi="Times New Roman"/>
        </w:rPr>
        <w:t>现象。在采用</w:t>
      </w:r>
      <w:r w:rsidRPr="00E01EF9">
        <w:rPr>
          <w:rFonts w:ascii="Times New Roman" w:eastAsia="宋体" w:hAnsi="Times New Roman"/>
        </w:rPr>
        <w:t>“</w:t>
      </w:r>
      <w:r w:rsidRPr="00E01EF9">
        <w:rPr>
          <w:rFonts w:ascii="Times New Roman" w:eastAsia="宋体" w:hAnsi="Times New Roman"/>
        </w:rPr>
        <w:t>全阶式适用</w:t>
      </w:r>
      <w:r w:rsidRPr="00E01EF9">
        <w:rPr>
          <w:rFonts w:ascii="Times New Roman" w:eastAsia="宋体" w:hAnsi="Times New Roman"/>
        </w:rPr>
        <w:t>”</w:t>
      </w:r>
      <w:r w:rsidRPr="00E01EF9">
        <w:rPr>
          <w:rFonts w:ascii="Times New Roman" w:eastAsia="宋体" w:hAnsi="Times New Roman"/>
        </w:rPr>
        <w:t>与</w:t>
      </w:r>
      <w:r w:rsidRPr="00E01EF9">
        <w:rPr>
          <w:rFonts w:ascii="Times New Roman" w:eastAsia="宋体" w:hAnsi="Times New Roman"/>
        </w:rPr>
        <w:t>“</w:t>
      </w:r>
      <w:r w:rsidRPr="00E01EF9">
        <w:rPr>
          <w:rFonts w:ascii="Times New Roman" w:eastAsia="宋体" w:hAnsi="Times New Roman"/>
        </w:rPr>
        <w:t>截取式适用</w:t>
      </w:r>
      <w:r w:rsidRPr="00E01EF9">
        <w:rPr>
          <w:rFonts w:ascii="Times New Roman" w:eastAsia="宋体" w:hAnsi="Times New Roman"/>
        </w:rPr>
        <w:t>”</w:t>
      </w:r>
      <w:r w:rsidRPr="00E01EF9">
        <w:rPr>
          <w:rFonts w:ascii="Times New Roman" w:eastAsia="宋体" w:hAnsi="Times New Roman"/>
        </w:rPr>
        <w:t>的案件中，法院的审查强度相对较高，更有可能认定行政行为违反比例</w:t>
      </w:r>
      <w:r w:rsidRPr="00E01EF9">
        <w:rPr>
          <w:rFonts w:ascii="Times New Roman" w:eastAsia="宋体" w:hAnsi="Times New Roman"/>
        </w:rPr>
        <w:lastRenderedPageBreak/>
        <w:t>原则；相反，在涉及复杂利益衡量的案件中，法院往往倾向于通过</w:t>
      </w:r>
      <w:r w:rsidRPr="00E01EF9">
        <w:rPr>
          <w:rFonts w:ascii="Times New Roman" w:eastAsia="宋体" w:hAnsi="Times New Roman"/>
        </w:rPr>
        <w:t>“</w:t>
      </w:r>
      <w:r w:rsidRPr="00E01EF9">
        <w:rPr>
          <w:rFonts w:ascii="Times New Roman" w:eastAsia="宋体" w:hAnsi="Times New Roman"/>
        </w:rPr>
        <w:t>抽象式适用</w:t>
      </w:r>
      <w:r w:rsidRPr="00E01EF9">
        <w:rPr>
          <w:rFonts w:ascii="Times New Roman" w:eastAsia="宋体" w:hAnsi="Times New Roman"/>
        </w:rPr>
        <w:t>”</w:t>
      </w:r>
      <w:r w:rsidRPr="00E01EF9">
        <w:rPr>
          <w:rFonts w:ascii="Times New Roman" w:eastAsia="宋体" w:hAnsi="Times New Roman"/>
        </w:rPr>
        <w:t>的方式，尊重行政机关的判断空间，并最终认定行政行为符合比例原则。进一步而言，作者指出，这种多元化的审查强度配置机制反映出法院在比例原则适用上的一种演进趋势，即法院从最初对该原则持相对谨慎乃至防备的态度，逐步转向更为积极地接纳并运用比例原则，通过吸收多样化的审查要素，以更灵活地应对日益复杂的行政争议。</w:t>
      </w:r>
    </w:p>
    <w:p w14:paraId="536D6F0E" w14:textId="5137D95B" w:rsidR="009B26EC" w:rsidRDefault="009B26EC" w:rsidP="009B26EC">
      <w:pPr>
        <w:spacing w:beforeLines="50" w:before="156" w:afterLines="50" w:after="156"/>
        <w:ind w:firstLine="420"/>
        <w:rPr>
          <w:rFonts w:ascii="Times New Roman" w:eastAsia="宋体" w:hAnsi="Times New Roman"/>
        </w:rPr>
      </w:pPr>
      <w:r>
        <w:rPr>
          <w:rFonts w:ascii="Times New Roman" w:eastAsia="宋体" w:hAnsi="Times New Roman" w:hint="eastAsia"/>
        </w:rPr>
        <w:t>总的来说，正如作者所言，文章</w:t>
      </w:r>
      <w:r w:rsidRPr="009B26EC">
        <w:rPr>
          <w:rFonts w:ascii="Times New Roman" w:eastAsia="宋体" w:hAnsi="Times New Roman"/>
        </w:rPr>
        <w:t>对比例原则位阶秩序之适用类型进行归纳，其意不在形成一套逻辑周延的学理架构，而毋宁是借助对我国部分行政判例的梳理，观察作为比例原则重要支撑框架的位阶秩序在司法裁判说理中呈现怎样的样态，并尝试基于这些类型化的司法适用样态，寻找到某种可被适度客观化的规律。</w:t>
      </w:r>
    </w:p>
    <w:p w14:paraId="4983F362" w14:textId="3779B307" w:rsidR="009B26EC" w:rsidRPr="0024557F" w:rsidRDefault="00764980" w:rsidP="009B26EC">
      <w:pPr>
        <w:spacing w:beforeLines="50" w:before="156" w:afterLines="50" w:after="156"/>
        <w:ind w:firstLine="420"/>
        <w:rPr>
          <w:rFonts w:ascii="Times New Roman" w:eastAsia="宋体" w:hAnsi="Times New Roman"/>
        </w:rPr>
      </w:pPr>
      <w:r w:rsidRPr="00764980">
        <w:rPr>
          <w:rFonts w:ascii="Times New Roman" w:eastAsia="宋体" w:hAnsi="Times New Roman"/>
          <w:noProof/>
        </w:rPr>
        <w:drawing>
          <wp:inline distT="0" distB="0" distL="0" distR="0" wp14:anchorId="358BD062" wp14:editId="4990DABC">
            <wp:extent cx="5274310" cy="1803400"/>
            <wp:effectExtent l="0" t="0" r="2540" b="6350"/>
            <wp:docPr id="214405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803400"/>
                    </a:xfrm>
                    <a:prstGeom prst="rect">
                      <a:avLst/>
                    </a:prstGeom>
                    <a:noFill/>
                    <a:ln>
                      <a:noFill/>
                    </a:ln>
                  </pic:spPr>
                </pic:pic>
              </a:graphicData>
            </a:graphic>
          </wp:inline>
        </w:drawing>
      </w:r>
    </w:p>
    <w:p w14:paraId="6ACEDB73" w14:textId="77777777" w:rsidR="00473C81" w:rsidRPr="00E32DF8" w:rsidRDefault="00473C81" w:rsidP="00473C81">
      <w:pPr>
        <w:spacing w:beforeLines="50" w:before="156" w:afterLines="50" w:after="156"/>
        <w:ind w:firstLine="420"/>
        <w:rPr>
          <w:rFonts w:ascii="Times New Roman" w:eastAsia="宋体" w:hAnsi="Times New Roman"/>
        </w:rPr>
      </w:pPr>
    </w:p>
    <w:p w14:paraId="2D641089" w14:textId="77777777" w:rsidR="008E7EEC" w:rsidRDefault="008E7EEC" w:rsidP="008E7EEC">
      <w:pPr>
        <w:spacing w:beforeLines="50" w:before="156" w:afterLines="50" w:after="156"/>
        <w:rPr>
          <w:rFonts w:ascii="宋体" w:eastAsia="宋体" w:hAnsi="宋体" w:cs="宋体" w:hint="eastAsia"/>
          <w:color w:val="000000"/>
          <w:kern w:val="0"/>
          <w:szCs w:val="21"/>
        </w:rPr>
      </w:pPr>
      <w:bookmarkStart w:id="0" w:name="sort_2"/>
      <w:bookmarkEnd w:id="0"/>
    </w:p>
    <w:sectPr w:rsidR="008E7E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B786F" w14:textId="77777777" w:rsidR="001E067E" w:rsidRDefault="001E067E" w:rsidP="00C224AB">
      <w:pPr>
        <w:rPr>
          <w:rFonts w:hint="eastAsia"/>
        </w:rPr>
      </w:pPr>
      <w:r>
        <w:separator/>
      </w:r>
    </w:p>
  </w:endnote>
  <w:endnote w:type="continuationSeparator" w:id="0">
    <w:p w14:paraId="29A677C0" w14:textId="77777777" w:rsidR="001E067E" w:rsidRDefault="001E067E" w:rsidP="00C224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733C" w14:textId="77777777" w:rsidR="001E067E" w:rsidRDefault="001E067E" w:rsidP="00C224AB">
      <w:pPr>
        <w:rPr>
          <w:rFonts w:hint="eastAsia"/>
        </w:rPr>
      </w:pPr>
      <w:r>
        <w:separator/>
      </w:r>
    </w:p>
  </w:footnote>
  <w:footnote w:type="continuationSeparator" w:id="0">
    <w:p w14:paraId="7D6C1C08" w14:textId="77777777" w:rsidR="001E067E" w:rsidRDefault="001E067E" w:rsidP="00C224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57"/>
    <w:rsid w:val="00004E18"/>
    <w:rsid w:val="00033373"/>
    <w:rsid w:val="000735F5"/>
    <w:rsid w:val="0008402E"/>
    <w:rsid w:val="00084E52"/>
    <w:rsid w:val="00091688"/>
    <w:rsid w:val="000A1F14"/>
    <w:rsid w:val="000A7255"/>
    <w:rsid w:val="000B7925"/>
    <w:rsid w:val="000F360D"/>
    <w:rsid w:val="00104B41"/>
    <w:rsid w:val="00141AA2"/>
    <w:rsid w:val="001A1AF9"/>
    <w:rsid w:val="001B5A7C"/>
    <w:rsid w:val="001D6C37"/>
    <w:rsid w:val="001E067E"/>
    <w:rsid w:val="00212409"/>
    <w:rsid w:val="00213300"/>
    <w:rsid w:val="00222227"/>
    <w:rsid w:val="00222684"/>
    <w:rsid w:val="00242D9D"/>
    <w:rsid w:val="0024304D"/>
    <w:rsid w:val="0024557F"/>
    <w:rsid w:val="00283245"/>
    <w:rsid w:val="002916C7"/>
    <w:rsid w:val="002A5957"/>
    <w:rsid w:val="002B7DEB"/>
    <w:rsid w:val="002F152D"/>
    <w:rsid w:val="0030209F"/>
    <w:rsid w:val="0030239D"/>
    <w:rsid w:val="00307888"/>
    <w:rsid w:val="00341826"/>
    <w:rsid w:val="00357B16"/>
    <w:rsid w:val="0037248C"/>
    <w:rsid w:val="003942D4"/>
    <w:rsid w:val="003D6276"/>
    <w:rsid w:val="003E5FD2"/>
    <w:rsid w:val="00407989"/>
    <w:rsid w:val="00421F91"/>
    <w:rsid w:val="00473C81"/>
    <w:rsid w:val="0049320E"/>
    <w:rsid w:val="004A2111"/>
    <w:rsid w:val="004D4FA0"/>
    <w:rsid w:val="004F4492"/>
    <w:rsid w:val="00526FF7"/>
    <w:rsid w:val="00545B97"/>
    <w:rsid w:val="005823AE"/>
    <w:rsid w:val="005B036A"/>
    <w:rsid w:val="005B72D4"/>
    <w:rsid w:val="005C69B4"/>
    <w:rsid w:val="006120A9"/>
    <w:rsid w:val="00617FCA"/>
    <w:rsid w:val="006502BF"/>
    <w:rsid w:val="00667B7E"/>
    <w:rsid w:val="00670A37"/>
    <w:rsid w:val="00690BB6"/>
    <w:rsid w:val="006933C2"/>
    <w:rsid w:val="006B7B82"/>
    <w:rsid w:val="006C08FF"/>
    <w:rsid w:val="00726372"/>
    <w:rsid w:val="00761E77"/>
    <w:rsid w:val="007633AD"/>
    <w:rsid w:val="00764980"/>
    <w:rsid w:val="00771C46"/>
    <w:rsid w:val="00791163"/>
    <w:rsid w:val="007B5CAD"/>
    <w:rsid w:val="007B6365"/>
    <w:rsid w:val="007C2A99"/>
    <w:rsid w:val="007D15A7"/>
    <w:rsid w:val="007E018F"/>
    <w:rsid w:val="007F3734"/>
    <w:rsid w:val="008102E2"/>
    <w:rsid w:val="008315EB"/>
    <w:rsid w:val="00843F86"/>
    <w:rsid w:val="008E7EEC"/>
    <w:rsid w:val="009503EF"/>
    <w:rsid w:val="009635DA"/>
    <w:rsid w:val="00997970"/>
    <w:rsid w:val="009B26EC"/>
    <w:rsid w:val="009D16FE"/>
    <w:rsid w:val="00A17F77"/>
    <w:rsid w:val="00A52E80"/>
    <w:rsid w:val="00A96784"/>
    <w:rsid w:val="00A97BF8"/>
    <w:rsid w:val="00AD4CA0"/>
    <w:rsid w:val="00AD509B"/>
    <w:rsid w:val="00B25F8D"/>
    <w:rsid w:val="00B32608"/>
    <w:rsid w:val="00B42933"/>
    <w:rsid w:val="00B61157"/>
    <w:rsid w:val="00B6761D"/>
    <w:rsid w:val="00B7248D"/>
    <w:rsid w:val="00B73A56"/>
    <w:rsid w:val="00B8224D"/>
    <w:rsid w:val="00B90FE4"/>
    <w:rsid w:val="00B94485"/>
    <w:rsid w:val="00BA5FAE"/>
    <w:rsid w:val="00BB0668"/>
    <w:rsid w:val="00C142AB"/>
    <w:rsid w:val="00C224AB"/>
    <w:rsid w:val="00C87889"/>
    <w:rsid w:val="00CA7C5C"/>
    <w:rsid w:val="00D00136"/>
    <w:rsid w:val="00D23FA6"/>
    <w:rsid w:val="00D37EBA"/>
    <w:rsid w:val="00D435A9"/>
    <w:rsid w:val="00D524DA"/>
    <w:rsid w:val="00D57052"/>
    <w:rsid w:val="00D733A6"/>
    <w:rsid w:val="00DA68D0"/>
    <w:rsid w:val="00DD1FA7"/>
    <w:rsid w:val="00DD36DE"/>
    <w:rsid w:val="00DD6FDA"/>
    <w:rsid w:val="00E01EF9"/>
    <w:rsid w:val="00E02E1B"/>
    <w:rsid w:val="00E32DF8"/>
    <w:rsid w:val="00E5791B"/>
    <w:rsid w:val="00E937BC"/>
    <w:rsid w:val="00EF316C"/>
    <w:rsid w:val="00F43711"/>
    <w:rsid w:val="00F53083"/>
    <w:rsid w:val="00F77687"/>
    <w:rsid w:val="00FC7A91"/>
    <w:rsid w:val="00FE1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D5CA5"/>
  <w15:chartTrackingRefBased/>
  <w15:docId w15:val="{73C0A179-45D2-41C8-BC62-3B14F96D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823AE"/>
    <w:pPr>
      <w:widowControl w:val="0"/>
      <w:jc w:val="both"/>
    </w:pPr>
  </w:style>
  <w:style w:type="paragraph" w:styleId="2">
    <w:name w:val="heading 2"/>
    <w:basedOn w:val="a"/>
    <w:next w:val="a"/>
    <w:link w:val="20"/>
    <w:uiPriority w:val="9"/>
    <w:unhideWhenUsed/>
    <w:qFormat/>
    <w:rsid w:val="00141AA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61157"/>
    <w:rPr>
      <w:color w:val="0563C1" w:themeColor="hyperlink"/>
      <w:u w:val="single"/>
    </w:rPr>
  </w:style>
  <w:style w:type="character" w:styleId="a4">
    <w:name w:val="Unresolved Mention"/>
    <w:basedOn w:val="a0"/>
    <w:uiPriority w:val="99"/>
    <w:semiHidden/>
    <w:unhideWhenUsed/>
    <w:rsid w:val="00B61157"/>
    <w:rPr>
      <w:color w:val="605E5C"/>
      <w:shd w:val="clear" w:color="auto" w:fill="E1DFDD"/>
    </w:rPr>
  </w:style>
  <w:style w:type="paragraph" w:customStyle="1" w:styleId="a5">
    <w:name w:val="文章标题"/>
    <w:basedOn w:val="a"/>
    <w:link w:val="a6"/>
    <w:qFormat/>
    <w:rsid w:val="00B61157"/>
    <w:pPr>
      <w:jc w:val="center"/>
    </w:pPr>
    <w:rPr>
      <w:rFonts w:ascii="华文中宋" w:eastAsia="华文中宋" w:hAnsi="华文中宋"/>
      <w:b/>
      <w:bCs/>
      <w:sz w:val="32"/>
      <w:szCs w:val="36"/>
    </w:rPr>
  </w:style>
  <w:style w:type="paragraph" w:customStyle="1" w:styleId="a7">
    <w:name w:val="一级标题"/>
    <w:basedOn w:val="a"/>
    <w:next w:val="a"/>
    <w:link w:val="a8"/>
    <w:qFormat/>
    <w:rsid w:val="008E7EEC"/>
    <w:pPr>
      <w:spacing w:beforeLines="50" w:before="50" w:afterLines="50" w:after="50"/>
      <w:ind w:firstLineChars="200" w:firstLine="200"/>
    </w:pPr>
    <w:rPr>
      <w:rFonts w:ascii="Times New Roman" w:eastAsia="宋体" w:hAnsi="Times New Roman"/>
      <w:b/>
      <w:bCs/>
      <w:sz w:val="28"/>
      <w:szCs w:val="28"/>
    </w:rPr>
  </w:style>
  <w:style w:type="character" w:customStyle="1" w:styleId="a6">
    <w:name w:val="文章标题 字符"/>
    <w:basedOn w:val="a0"/>
    <w:link w:val="a5"/>
    <w:rsid w:val="00B61157"/>
    <w:rPr>
      <w:rFonts w:ascii="华文中宋" w:eastAsia="华文中宋" w:hAnsi="华文中宋"/>
      <w:b/>
      <w:bCs/>
      <w:sz w:val="32"/>
      <w:szCs w:val="36"/>
    </w:rPr>
  </w:style>
  <w:style w:type="paragraph" w:customStyle="1" w:styleId="a9">
    <w:name w:val="二级标题"/>
    <w:basedOn w:val="a"/>
    <w:next w:val="a"/>
    <w:link w:val="aa"/>
    <w:qFormat/>
    <w:rsid w:val="008E7EEC"/>
    <w:pPr>
      <w:spacing w:beforeLines="50" w:before="50" w:afterLines="50" w:after="50"/>
      <w:ind w:firstLineChars="200" w:firstLine="200"/>
    </w:pPr>
    <w:rPr>
      <w:rFonts w:ascii="Times New Roman" w:eastAsia="宋体" w:hAnsi="Times New Roman"/>
      <w:b/>
      <w:bCs/>
      <w:sz w:val="24"/>
      <w:szCs w:val="28"/>
    </w:rPr>
  </w:style>
  <w:style w:type="character" w:customStyle="1" w:styleId="a8">
    <w:name w:val="一级标题 字符"/>
    <w:basedOn w:val="a0"/>
    <w:link w:val="a7"/>
    <w:rsid w:val="008E7EEC"/>
    <w:rPr>
      <w:rFonts w:ascii="Times New Roman" w:eastAsia="宋体" w:hAnsi="Times New Roman"/>
      <w:b/>
      <w:bCs/>
      <w:sz w:val="28"/>
      <w:szCs w:val="28"/>
    </w:rPr>
  </w:style>
  <w:style w:type="character" w:customStyle="1" w:styleId="aa">
    <w:name w:val="二级标题 字符"/>
    <w:basedOn w:val="a0"/>
    <w:link w:val="a9"/>
    <w:rsid w:val="008E7EEC"/>
    <w:rPr>
      <w:rFonts w:ascii="Times New Roman" w:eastAsia="宋体" w:hAnsi="Times New Roman"/>
      <w:b/>
      <w:bCs/>
      <w:sz w:val="24"/>
      <w:szCs w:val="28"/>
    </w:rPr>
  </w:style>
  <w:style w:type="paragraph" w:styleId="ab">
    <w:name w:val="header"/>
    <w:basedOn w:val="a"/>
    <w:link w:val="ac"/>
    <w:uiPriority w:val="99"/>
    <w:unhideWhenUsed/>
    <w:rsid w:val="00C224A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C224AB"/>
    <w:rPr>
      <w:sz w:val="18"/>
      <w:szCs w:val="18"/>
    </w:rPr>
  </w:style>
  <w:style w:type="paragraph" w:styleId="ad">
    <w:name w:val="footer"/>
    <w:basedOn w:val="a"/>
    <w:link w:val="ae"/>
    <w:uiPriority w:val="99"/>
    <w:unhideWhenUsed/>
    <w:rsid w:val="00C224AB"/>
    <w:pPr>
      <w:tabs>
        <w:tab w:val="center" w:pos="4153"/>
        <w:tab w:val="right" w:pos="8306"/>
      </w:tabs>
      <w:snapToGrid w:val="0"/>
      <w:jc w:val="left"/>
    </w:pPr>
    <w:rPr>
      <w:sz w:val="18"/>
      <w:szCs w:val="18"/>
    </w:rPr>
  </w:style>
  <w:style w:type="character" w:customStyle="1" w:styleId="ae">
    <w:name w:val="页脚 字符"/>
    <w:basedOn w:val="a0"/>
    <w:link w:val="ad"/>
    <w:uiPriority w:val="99"/>
    <w:rsid w:val="00C224AB"/>
    <w:rPr>
      <w:sz w:val="18"/>
      <w:szCs w:val="18"/>
    </w:rPr>
  </w:style>
  <w:style w:type="paragraph" w:customStyle="1" w:styleId="af">
    <w:name w:val="英文题目"/>
    <w:basedOn w:val="a"/>
    <w:next w:val="a"/>
    <w:link w:val="af0"/>
    <w:qFormat/>
    <w:rsid w:val="00DA68D0"/>
    <w:pPr>
      <w:jc w:val="center"/>
    </w:pPr>
    <w:rPr>
      <w:rFonts w:ascii="Times New Roman" w:eastAsia="Times New Roman" w:hAnsi="Times New Roman"/>
      <w:b/>
      <w:sz w:val="28"/>
    </w:rPr>
  </w:style>
  <w:style w:type="character" w:customStyle="1" w:styleId="af0">
    <w:name w:val="英文题目 字符"/>
    <w:basedOn w:val="a0"/>
    <w:link w:val="af"/>
    <w:rsid w:val="00DA68D0"/>
    <w:rPr>
      <w:rFonts w:ascii="Times New Roman" w:eastAsia="Times New Roman" w:hAnsi="Times New Roman"/>
      <w:b/>
      <w:sz w:val="28"/>
    </w:rPr>
  </w:style>
  <w:style w:type="paragraph" w:styleId="af1">
    <w:name w:val="Normal (Web)"/>
    <w:basedOn w:val="a"/>
    <w:uiPriority w:val="99"/>
    <w:semiHidden/>
    <w:unhideWhenUsed/>
    <w:rsid w:val="00F43711"/>
    <w:pPr>
      <w:widowControl/>
      <w:spacing w:before="100" w:beforeAutospacing="1" w:after="100" w:afterAutospacing="1"/>
      <w:jc w:val="left"/>
    </w:pPr>
    <w:rPr>
      <w:rFonts w:ascii="宋体" w:eastAsia="宋体" w:hAnsi="宋体" w:cs="宋体"/>
      <w:kern w:val="0"/>
      <w:sz w:val="24"/>
      <w:szCs w:val="24"/>
    </w:rPr>
  </w:style>
  <w:style w:type="paragraph" w:customStyle="1" w:styleId="af2">
    <w:name w:val="三级标题"/>
    <w:basedOn w:val="a"/>
    <w:next w:val="a"/>
    <w:qFormat/>
    <w:rsid w:val="008E7EEC"/>
    <w:pPr>
      <w:spacing w:beforeLines="50" w:before="156" w:afterLines="50" w:after="156"/>
      <w:ind w:firstLineChars="200" w:firstLine="420"/>
    </w:pPr>
    <w:rPr>
      <w:rFonts w:ascii="Times New Roman" w:eastAsia="楷体" w:hAnsi="Times New Roman"/>
      <w:b/>
    </w:rPr>
  </w:style>
  <w:style w:type="character" w:customStyle="1" w:styleId="20">
    <w:name w:val="标题 2 字符"/>
    <w:basedOn w:val="a0"/>
    <w:link w:val="2"/>
    <w:uiPriority w:val="9"/>
    <w:rsid w:val="00141AA2"/>
    <w:rPr>
      <w:rFonts w:asciiTheme="majorHAnsi" w:eastAsiaTheme="majorEastAsia" w:hAnsiTheme="majorHAnsi" w:cstheme="majorBidi"/>
      <w:b/>
      <w:bCs/>
      <w:sz w:val="32"/>
      <w:szCs w:val="32"/>
    </w:rPr>
  </w:style>
  <w:style w:type="paragraph" w:styleId="af3">
    <w:name w:val="No Spacing"/>
    <w:uiPriority w:val="1"/>
    <w:qFormat/>
    <w:rsid w:val="00E32DF8"/>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91098">
      <w:bodyDiv w:val="1"/>
      <w:marLeft w:val="0"/>
      <w:marRight w:val="0"/>
      <w:marTop w:val="0"/>
      <w:marBottom w:val="0"/>
      <w:divBdr>
        <w:top w:val="none" w:sz="0" w:space="0" w:color="auto"/>
        <w:left w:val="none" w:sz="0" w:space="0" w:color="auto"/>
        <w:bottom w:val="none" w:sz="0" w:space="0" w:color="auto"/>
        <w:right w:val="none" w:sz="0" w:space="0" w:color="auto"/>
      </w:divBdr>
    </w:div>
    <w:div w:id="343479748">
      <w:bodyDiv w:val="1"/>
      <w:marLeft w:val="0"/>
      <w:marRight w:val="0"/>
      <w:marTop w:val="0"/>
      <w:marBottom w:val="0"/>
      <w:divBdr>
        <w:top w:val="none" w:sz="0" w:space="0" w:color="auto"/>
        <w:left w:val="none" w:sz="0" w:space="0" w:color="auto"/>
        <w:bottom w:val="none" w:sz="0" w:space="0" w:color="auto"/>
        <w:right w:val="none" w:sz="0" w:space="0" w:color="auto"/>
      </w:divBdr>
      <w:divsChild>
        <w:div w:id="355234878">
          <w:marLeft w:val="0"/>
          <w:marRight w:val="0"/>
          <w:marTop w:val="0"/>
          <w:marBottom w:val="0"/>
          <w:divBdr>
            <w:top w:val="none" w:sz="0" w:space="0" w:color="auto"/>
            <w:left w:val="none" w:sz="0" w:space="0" w:color="auto"/>
            <w:bottom w:val="none" w:sz="0" w:space="0" w:color="auto"/>
            <w:right w:val="none" w:sz="0" w:space="0" w:color="auto"/>
          </w:divBdr>
        </w:div>
      </w:divsChild>
    </w:div>
    <w:div w:id="804664928">
      <w:bodyDiv w:val="1"/>
      <w:marLeft w:val="0"/>
      <w:marRight w:val="0"/>
      <w:marTop w:val="0"/>
      <w:marBottom w:val="0"/>
      <w:divBdr>
        <w:top w:val="none" w:sz="0" w:space="0" w:color="auto"/>
        <w:left w:val="none" w:sz="0" w:space="0" w:color="auto"/>
        <w:bottom w:val="none" w:sz="0" w:space="0" w:color="auto"/>
        <w:right w:val="none" w:sz="0" w:space="0" w:color="auto"/>
      </w:divBdr>
    </w:div>
    <w:div w:id="926308513">
      <w:bodyDiv w:val="1"/>
      <w:marLeft w:val="0"/>
      <w:marRight w:val="0"/>
      <w:marTop w:val="0"/>
      <w:marBottom w:val="0"/>
      <w:divBdr>
        <w:top w:val="none" w:sz="0" w:space="0" w:color="auto"/>
        <w:left w:val="none" w:sz="0" w:space="0" w:color="auto"/>
        <w:bottom w:val="none" w:sz="0" w:space="0" w:color="auto"/>
        <w:right w:val="none" w:sz="0" w:space="0" w:color="auto"/>
      </w:divBdr>
    </w:div>
    <w:div w:id="1211723528">
      <w:bodyDiv w:val="1"/>
      <w:marLeft w:val="0"/>
      <w:marRight w:val="0"/>
      <w:marTop w:val="0"/>
      <w:marBottom w:val="0"/>
      <w:divBdr>
        <w:top w:val="none" w:sz="0" w:space="0" w:color="auto"/>
        <w:left w:val="none" w:sz="0" w:space="0" w:color="auto"/>
        <w:bottom w:val="none" w:sz="0" w:space="0" w:color="auto"/>
        <w:right w:val="none" w:sz="0" w:space="0" w:color="auto"/>
      </w:divBdr>
    </w:div>
    <w:div w:id="1293830915">
      <w:bodyDiv w:val="1"/>
      <w:marLeft w:val="0"/>
      <w:marRight w:val="0"/>
      <w:marTop w:val="0"/>
      <w:marBottom w:val="0"/>
      <w:divBdr>
        <w:top w:val="none" w:sz="0" w:space="0" w:color="auto"/>
        <w:left w:val="none" w:sz="0" w:space="0" w:color="auto"/>
        <w:bottom w:val="none" w:sz="0" w:space="0" w:color="auto"/>
        <w:right w:val="none" w:sz="0" w:space="0" w:color="auto"/>
      </w:divBdr>
    </w:div>
    <w:div w:id="1536306852">
      <w:bodyDiv w:val="1"/>
      <w:marLeft w:val="0"/>
      <w:marRight w:val="0"/>
      <w:marTop w:val="0"/>
      <w:marBottom w:val="0"/>
      <w:divBdr>
        <w:top w:val="none" w:sz="0" w:space="0" w:color="auto"/>
        <w:left w:val="none" w:sz="0" w:space="0" w:color="auto"/>
        <w:bottom w:val="none" w:sz="0" w:space="0" w:color="auto"/>
        <w:right w:val="none" w:sz="0" w:space="0" w:color="auto"/>
      </w:divBdr>
    </w:div>
    <w:div w:id="1800369626">
      <w:bodyDiv w:val="1"/>
      <w:marLeft w:val="0"/>
      <w:marRight w:val="0"/>
      <w:marTop w:val="0"/>
      <w:marBottom w:val="0"/>
      <w:divBdr>
        <w:top w:val="none" w:sz="0" w:space="0" w:color="auto"/>
        <w:left w:val="none" w:sz="0" w:space="0" w:color="auto"/>
        <w:bottom w:val="none" w:sz="0" w:space="0" w:color="auto"/>
        <w:right w:val="none" w:sz="0" w:space="0" w:color="auto"/>
      </w:divBdr>
    </w:div>
    <w:div w:id="1893299088">
      <w:bodyDiv w:val="1"/>
      <w:marLeft w:val="0"/>
      <w:marRight w:val="0"/>
      <w:marTop w:val="0"/>
      <w:marBottom w:val="0"/>
      <w:divBdr>
        <w:top w:val="none" w:sz="0" w:space="0" w:color="auto"/>
        <w:left w:val="none" w:sz="0" w:space="0" w:color="auto"/>
        <w:bottom w:val="none" w:sz="0" w:space="0" w:color="auto"/>
        <w:right w:val="none" w:sz="0" w:space="0" w:color="auto"/>
      </w:divBdr>
    </w:div>
    <w:div w:id="1964068629">
      <w:bodyDiv w:val="1"/>
      <w:marLeft w:val="0"/>
      <w:marRight w:val="0"/>
      <w:marTop w:val="0"/>
      <w:marBottom w:val="0"/>
      <w:divBdr>
        <w:top w:val="none" w:sz="0" w:space="0" w:color="auto"/>
        <w:left w:val="none" w:sz="0" w:space="0" w:color="auto"/>
        <w:bottom w:val="none" w:sz="0" w:space="0" w:color="auto"/>
        <w:right w:val="none" w:sz="0" w:space="0" w:color="auto"/>
      </w:divBdr>
      <w:divsChild>
        <w:div w:id="713576053">
          <w:marLeft w:val="0"/>
          <w:marRight w:val="0"/>
          <w:marTop w:val="0"/>
          <w:marBottom w:val="0"/>
          <w:divBdr>
            <w:top w:val="none" w:sz="0" w:space="0" w:color="auto"/>
            <w:left w:val="none" w:sz="0" w:space="0" w:color="auto"/>
            <w:bottom w:val="none" w:sz="0" w:space="0" w:color="auto"/>
            <w:right w:val="none" w:sz="0" w:space="0" w:color="auto"/>
          </w:divBdr>
          <w:divsChild>
            <w:div w:id="940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B0B2E-3E0C-45CE-A371-098866B52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774</Words>
  <Characters>775</Characters>
  <Application>Microsoft Office Word</Application>
  <DocSecurity>0</DocSecurity>
  <Lines>24</Lines>
  <Paragraphs>7</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Y H</cp:lastModifiedBy>
  <cp:revision>4</cp:revision>
  <dcterms:created xsi:type="dcterms:W3CDTF">2026-01-14T14:08:00Z</dcterms:created>
  <dcterms:modified xsi:type="dcterms:W3CDTF">2026-01-15T13:34:00Z</dcterms:modified>
</cp:coreProperties>
</file>