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Automatic Voxel-Grid Size Approximation for Intersecting Robot Workspaces</w:t>
      </w:r>
    </w:p>
    <w:p>
      <w:pPr>
        <w:pStyle w:val="Subtitle"/>
      </w:pPr>
      <w:r>
        <w:t xml:space="preserve">Method, Formula Derivation, Implementation, and Scientific Context</w:t>
      </w:r>
    </w:p>
    <w:p>
      <w:pPr>
        <w:pStyle w:val="Author"/>
      </w:pPr>
      <w:r>
        <w:t xml:space="preserve">WoMAT / Master’s Thesis Technical Note</w:t>
      </w:r>
    </w:p>
    <w:p>
      <w:pPr>
        <w:pStyle w:val="Date"/>
      </w:pPr>
      <w:r>
        <w:t xml:space="preserve">17 August 2026</w:t>
      </w:r>
    </w:p>
    <w:p>
      <w:pPr>
        <w:pStyle w:val="Title"/>
      </w:pPr>
      <w:r>
        <w:t xml:space="preserve">Automatic Voxel-Grid Size Approximation for Intersecting Robot Workspaces</w:t>
      </w:r>
    </w:p>
    <w:p>
      <w:pPr>
        <w:pStyle w:val="Subtitle"/>
      </w:pPr>
      <w:r>
        <w:t xml:space="preserve">Method, Formula Derivation, Implementation, and Scientific Context</w:t>
      </w:r>
    </w:p>
    <w:p>
      <w:pPr>
        <w:pStyle w:val="BodyText"/>
      </w:pPr>
      <w:r>
        <w:rPr>
          <w:b/>
          <w:bCs/>
        </w:rPr>
        <w:t xml:space="preserve">WoMAT / Master’s Thesis Technical Note</w:t>
      </w:r>
      <w:r>
        <w:br/>
      </w:r>
      <w:r>
        <w:t xml:space="preserve">17 August 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abstract">
        <w:r>
          <w:rPr>
            <w:rStyle w:val="Hyperlink"/>
          </w:rPr>
          <w:t xml:space="preserve">Abstract</w:t>
        </w:r>
      </w:hyperlink>
    </w:p>
    <w:p>
      <w:pPr>
        <w:pStyle w:val="Compact"/>
        <w:numPr>
          <w:ilvl w:val="0"/>
          <w:numId w:val="1001"/>
        </w:numPr>
      </w:pPr>
      <w:hyperlink w:anchor="problem-definition">
        <w:r>
          <w:rPr>
            <w:rStyle w:val="Hyperlink"/>
          </w:rPr>
          <w:t xml:space="preserve">1. Problem definition</w:t>
        </w:r>
      </w:hyperlink>
    </w:p>
    <w:p>
      <w:pPr>
        <w:pStyle w:val="Compact"/>
        <w:numPr>
          <w:ilvl w:val="0"/>
          <w:numId w:val="1001"/>
        </w:numPr>
      </w:pPr>
      <w:hyperlink w:anchor="input-model-and-coordinate-frames">
        <w:r>
          <w:rPr>
            <w:rStyle w:val="Hyperlink"/>
          </w:rPr>
          <w:t xml:space="preserve">2. Input model and coordinate frames</w:t>
        </w:r>
      </w:hyperlink>
    </w:p>
    <w:p>
      <w:pPr>
        <w:pStyle w:val="Compact"/>
        <w:numPr>
          <w:ilvl w:val="0"/>
          <w:numId w:val="1001"/>
        </w:numPr>
      </w:pPr>
      <w:hyperlink w:anchor="step-1-native-point-cloud-spacing">
        <w:r>
          <w:rPr>
            <w:rStyle w:val="Hyperlink"/>
          </w:rPr>
          <w:t xml:space="preserve">3. Native point-cloud spacing</w:t>
        </w:r>
      </w:hyperlink>
    </w:p>
    <w:p>
      <w:pPr>
        <w:pStyle w:val="Compact"/>
        <w:numPr>
          <w:ilvl w:val="0"/>
          <w:numId w:val="1001"/>
        </w:numPr>
      </w:pPr>
      <w:hyperlink w:anchor="step-2-bounding-box-overlap-gate">
        <w:r>
          <w:rPr>
            <w:rStyle w:val="Hyperlink"/>
          </w:rPr>
          <w:t xml:space="preserve">4. Bounding-box overlap gate</w:t>
        </w:r>
      </w:hyperlink>
    </w:p>
    <w:p>
      <w:pPr>
        <w:pStyle w:val="Compact"/>
        <w:numPr>
          <w:ilvl w:val="0"/>
          <w:numId w:val="1001"/>
        </w:numPr>
      </w:pPr>
      <w:hyperlink w:anchor="X33ad0d2b783042b0cf50ddb79a38b6274ee3d4f">
        <w:r>
          <w:rPr>
            <w:rStyle w:val="Hyperlink"/>
          </w:rPr>
          <w:t xml:space="preserve">5. Proximity approximation</w:t>
        </w:r>
      </w:hyperlink>
    </w:p>
    <w:p>
      <w:pPr>
        <w:pStyle w:val="Compact"/>
        <w:numPr>
          <w:ilvl w:val="0"/>
          <w:numId w:val="1001"/>
        </w:numPr>
      </w:pPr>
      <w:hyperlink w:anchor="step-4-deriving-voxel-edge-length">
        <w:r>
          <w:rPr>
            <w:rStyle w:val="Hyperlink"/>
          </w:rPr>
          <w:t xml:space="preserve">6. Deriving voxel edge length</w:t>
        </w:r>
      </w:hyperlink>
    </w:p>
    <w:p>
      <w:pPr>
        <w:pStyle w:val="Compact"/>
        <w:numPr>
          <w:ilvl w:val="0"/>
          <w:numId w:val="1001"/>
        </w:numPr>
      </w:pPr>
      <w:hyperlink w:anchor="step-5-one-shared-voxel-grid">
        <w:r>
          <w:rPr>
            <w:rStyle w:val="Hyperlink"/>
          </w:rPr>
          <w:t xml:space="preserve">7. One shared voxel grid</w:t>
        </w:r>
      </w:hyperlink>
    </w:p>
    <w:p>
      <w:pPr>
        <w:pStyle w:val="Compact"/>
        <w:numPr>
          <w:ilvl w:val="0"/>
          <w:numId w:val="1001"/>
        </w:numPr>
      </w:pPr>
      <w:hyperlink w:anchor="complete-algorithm">
        <w:r>
          <w:rPr>
            <w:rStyle w:val="Hyperlink"/>
          </w:rPr>
          <w:t xml:space="preserve">8. Complete algorithm</w:t>
        </w:r>
      </w:hyperlink>
    </w:p>
    <w:p>
      <w:pPr>
        <w:pStyle w:val="Compact"/>
        <w:numPr>
          <w:ilvl w:val="0"/>
          <w:numId w:val="1001"/>
        </w:numPr>
      </w:pPr>
      <w:hyperlink w:anchor="current-robot1robot2-result">
        <w:r>
          <w:rPr>
            <w:rStyle w:val="Hyperlink"/>
          </w:rPr>
          <w:t xml:space="preserve">9. Current Robot1/Robot2 result</w:t>
        </w:r>
      </w:hyperlink>
    </w:p>
    <w:p>
      <w:pPr>
        <w:pStyle w:val="Compact"/>
        <w:numPr>
          <w:ilvl w:val="0"/>
          <w:numId w:val="1001"/>
        </w:numPr>
      </w:pPr>
      <w:hyperlink w:anchor="why-this-is-a-prior-not-an-optimum">
        <w:r>
          <w:rPr>
            <w:rStyle w:val="Hyperlink"/>
          </w:rPr>
          <w:t xml:space="preserve">10. Why this is a prior</w:t>
        </w:r>
      </w:hyperlink>
    </w:p>
    <w:p>
      <w:pPr>
        <w:pStyle w:val="Compact"/>
        <w:numPr>
          <w:ilvl w:val="0"/>
          <w:numId w:val="1001"/>
        </w:numPr>
      </w:pPr>
      <w:hyperlink w:anchor="parameter-interpretation">
        <w:r>
          <w:rPr>
            <w:rStyle w:val="Hyperlink"/>
          </w:rPr>
          <w:t xml:space="preserve">11. Parameter interpretation</w:t>
        </w:r>
      </w:hyperlink>
    </w:p>
    <w:p>
      <w:pPr>
        <w:pStyle w:val="Compact"/>
        <w:numPr>
          <w:ilvl w:val="0"/>
          <w:numId w:val="1001"/>
        </w:numPr>
      </w:pPr>
      <w:hyperlink w:anchor="computational-considerations">
        <w:r>
          <w:rPr>
            <w:rStyle w:val="Hyperlink"/>
          </w:rPr>
          <w:t xml:space="preserve">12. Computational considerations</w:t>
        </w:r>
      </w:hyperlink>
    </w:p>
    <w:p>
      <w:pPr>
        <w:pStyle w:val="Compact"/>
        <w:numPr>
          <w:ilvl w:val="0"/>
          <w:numId w:val="1001"/>
        </w:numPr>
      </w:pPr>
      <w:hyperlink w:anchor="recommended-thesis-evaluation">
        <w:r>
          <w:rPr>
            <w:rStyle w:val="Hyperlink"/>
          </w:rPr>
          <w:t xml:space="preserve">13. Recommended thesis evaluation</w:t>
        </w:r>
      </w:hyperlink>
    </w:p>
    <w:p>
      <w:pPr>
        <w:pStyle w:val="Compact"/>
        <w:numPr>
          <w:ilvl w:val="0"/>
          <w:numId w:val="1001"/>
        </w:numPr>
      </w:pPr>
      <w:hyperlink w:anchor="X600dc7e42f5d923dbfe3d194a39ee80a0f72e52">
        <w:r>
          <w:rPr>
            <w:rStyle w:val="Hyperlink"/>
          </w:rPr>
          <w:t xml:space="preserve">14. Scientific context</w:t>
        </w:r>
      </w:hyperlink>
    </w:p>
    <w:p>
      <w:pPr>
        <w:pStyle w:val="Compact"/>
        <w:numPr>
          <w:ilvl w:val="0"/>
          <w:numId w:val="1001"/>
        </w:numPr>
      </w:pPr>
      <w:hyperlink w:anchor="implementation-mapping-and-reproduction">
        <w:r>
          <w:rPr>
            <w:rStyle w:val="Hyperlink"/>
          </w:rPr>
          <w:t xml:space="preserve">15. Implementation and reproduction</w:t>
        </w:r>
      </w:hyperlink>
    </w:p>
    <w:p>
      <w:pPr>
        <w:pStyle w:val="Compact"/>
        <w:numPr>
          <w:ilvl w:val="0"/>
          <w:numId w:val="1001"/>
        </w:numPr>
      </w:pPr>
      <w:hyperlink w:anchor="suggested-future-improvements">
        <w:r>
          <w:rPr>
            <w:rStyle w:val="Hyperlink"/>
          </w:rPr>
          <w:t xml:space="preserve">16. Suggested future improvements</w:t>
        </w:r>
      </w:hyperlink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technical note documents the one-shot voxel-grid size approximation used</w:t>
      </w:r>
      <w:r>
        <w:t xml:space="preserve"> </w:t>
      </w:r>
      <w:r>
        <w:t xml:space="preserve">for the interaction space between two robot workspaces in WoMAT. Each workspace</w:t>
      </w:r>
      <w:r>
        <w:t xml:space="preserve"> </w:t>
      </w:r>
      <w:r>
        <w:t xml:space="preserve">is available as a Cartesian point cloud of reachable tool-centre-point (TCP)</w:t>
      </w:r>
      <w:r>
        <w:t xml:space="preserve"> </w:t>
      </w:r>
      <w:r>
        <w:t xml:space="preserve">positions. The objective is to choose a voxel edge length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voxelising,</w:t>
      </w:r>
      <w:r>
        <w:t xml:space="preserve"> </w:t>
      </w:r>
      <w:r>
        <w:t xml:space="preserve">then voxelise each workspace exactly once on one shared grid and intersect the</w:t>
      </w:r>
      <w:r>
        <w:t xml:space="preserve"> </w:t>
      </w:r>
      <w:r>
        <w:t xml:space="preserve">occupied voxel indices.</w:t>
      </w:r>
    </w:p>
    <w:p>
      <w:pPr>
        <w:pStyle w:val="BodyText"/>
      </w:pPr>
      <w:r>
        <w:t xml:space="preserve">The method combines four ideas:</w:t>
      </w:r>
    </w:p>
    <w:p>
      <w:pPr>
        <w:pStyle w:val="Compact"/>
        <w:numPr>
          <w:ilvl w:val="0"/>
          <w:numId w:val="1002"/>
        </w:numPr>
      </w:pPr>
      <w:r>
        <w:t xml:space="preserve">nearest-neighbour distances estimate the useful spatial resolution supported</w:t>
      </w:r>
      <w:r>
        <w:t xml:space="preserve"> </w:t>
      </w:r>
      <w:r>
        <w:t xml:space="preserve">by each point cloud;</w:t>
      </w:r>
    </w:p>
    <w:p>
      <w:pPr>
        <w:pStyle w:val="Compact"/>
        <w:numPr>
          <w:ilvl w:val="0"/>
          <w:numId w:val="1002"/>
        </w:numPr>
      </w:pPr>
      <w:r>
        <w:t xml:space="preserve">a KD-tree estimates how many raw samples lie near the other robot’s</w:t>
      </w:r>
      <w:r>
        <w:t xml:space="preserve"> </w:t>
      </w:r>
      <w:r>
        <w:t xml:space="preserve">workspace without constructing a voxel grid;</w:t>
      </w:r>
    </w:p>
    <w:p>
      <w:pPr>
        <w:pStyle w:val="Compact"/>
        <w:numPr>
          <w:ilvl w:val="0"/>
          <w:numId w:val="1002"/>
        </w:numPr>
      </w:pPr>
      <w:r>
        <w:t xml:space="preserve">the volume identity</w:t>
      </w:r>
      <w:r>
        <w:t xml:space="preserve"> </w:t>
      </w:r>
      <m:oMath>
        <m:r>
          <m:t>V</m:t>
        </m:r>
        <m:r>
          <m:rPr>
            <m:sty m:val="p"/>
          </m:rPr>
          <m:t>≈</m:t>
        </m:r>
        <m:r>
          <m:t>N</m:t>
        </m:r>
        <m:sSup>
          <m:e>
            <m:r>
              <m:t>s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converts a desired interaction-voxel</w:t>
      </w:r>
      <w:r>
        <w:t xml:space="preserve"> </w:t>
      </w:r>
      <w:r>
        <w:t xml:space="preserve">count into a voxel edge length; and</w:t>
      </w:r>
    </w:p>
    <w:p>
      <w:pPr>
        <w:pStyle w:val="Compact"/>
        <w:numPr>
          <w:ilvl w:val="0"/>
          <w:numId w:val="1002"/>
        </w:numPr>
      </w:pPr>
      <w:r>
        <w:t xml:space="preserve">an explicit common origin ensures that equal voxel indices denote the same</w:t>
      </w:r>
      <w:r>
        <w:t xml:space="preserve"> </w:t>
      </w:r>
      <w:r>
        <w:t xml:space="preserve">physical cells.</w:t>
      </w:r>
    </w:p>
    <w:p>
      <w:pPr>
        <w:pStyle w:val="FirstParagraph"/>
      </w:pPr>
      <w:r>
        <w:t xml:space="preserve">The final cube-root estimator is a</w:t>
      </w:r>
      <w:r>
        <w:t xml:space="preserve"> </w:t>
      </w:r>
      <w:r>
        <w:rPr>
          <w:b/>
          <w:bCs/>
        </w:rPr>
        <w:t xml:space="preserve">project-specific engineering derivation</w:t>
      </w:r>
      <w:r>
        <w:t xml:space="preserve">.</w:t>
      </w:r>
      <w:r>
        <w:t xml:space="preserve"> </w:t>
      </w:r>
      <w:r>
        <w:t xml:space="preserve">It is not presented as a formula copied from one scientific article. Its</w:t>
      </w:r>
      <w:r>
        <w:t xml:space="preserve"> </w:t>
      </w:r>
      <w:r>
        <w:t xml:space="preserve">components are consistent with established nearest-neighbour density estimation,</w:t>
      </w:r>
      <w:r>
        <w:t xml:space="preserve"> </w:t>
      </w:r>
      <w:r>
        <w:t xml:space="preserve">multidimensional search, point-cloud processing, and voxelized robot workspace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(</w:t>
      </w:r>
      <w:hyperlink w:anchor="ref-Loftsgaarden1965">
        <w:r>
          <w:rPr>
            <w:rStyle w:val="Hyperlink"/>
          </w:rPr>
          <w:t xml:space="preserve">Loftsgaarden and Quesenberry 1965</w:t>
        </w:r>
      </w:hyperlink>
      <w:r>
        <w:t xml:space="preserve">;</w:t>
      </w:r>
      <w:r>
        <w:t xml:space="preserve"> </w:t>
      </w:r>
      <w:hyperlink w:anchor="ref-Bentley1975">
        <w:r>
          <w:rPr>
            <w:rStyle w:val="Hyperlink"/>
          </w:rPr>
          <w:t xml:space="preserve">Bentley 1975</w:t>
        </w:r>
      </w:hyperlink>
      <w:r>
        <w:t xml:space="preserve">;</w:t>
      </w:r>
      <w:r>
        <w:t xml:space="preserve"> </w:t>
      </w:r>
      <w:hyperlink w:anchor="ref-Rusu2011">
        <w:r>
          <w:rPr>
            <w:rStyle w:val="Hyperlink"/>
          </w:rPr>
          <w:t xml:space="preserve">Rusu and Cousins 2011</w:t>
        </w:r>
      </w:hyperlink>
      <w:r>
        <w:t xml:space="preserve">;</w:t>
      </w:r>
      <w:r>
        <w:t xml:space="preserve"> </w:t>
      </w:r>
      <w:hyperlink w:anchor="ref-Zacharias2007">
        <w:r>
          <w:rPr>
            <w:rStyle w:val="Hyperlink"/>
          </w:rPr>
          <w:t xml:space="preserve">Zacharias, Borst, and Hirzinger 2007</w:t>
        </w:r>
      </w:hyperlink>
      <w:r>
        <w:t xml:space="preserve">)</w:t>
      </w:r>
      <w:r>
        <w:t xml:space="preserve">.</w:t>
      </w:r>
    </w:p>
    <w:bookmarkEnd w:id="21"/>
    <w:bookmarkStart w:id="22" w:name="problem-definition"/>
    <w:p>
      <w:pPr>
        <w:pStyle w:val="Heading1"/>
      </w:pPr>
      <w:r>
        <w:t xml:space="preserve">1. Problem definition</w:t>
      </w:r>
    </w:p>
    <w:p>
      <w:pPr>
        <w:pStyle w:val="FirstParagraph"/>
      </w:pPr>
      <w:r>
        <w:t xml:space="preserve">Let the reachable TCP samples of two robots be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every point is expressed in metres and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</m:sup>
        </m:sSup>
      </m:oMath>
      <w:r>
        <w:t xml:space="preserve">. The intended result is an</w:t>
      </w:r>
      <w:r>
        <w:t xml:space="preserve"> </w:t>
      </w:r>
      <w:r>
        <w:t xml:space="preserve">interaction space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∩</m:t>
          </m:r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V</m:t>
            </m:r>
          </m:e>
          <m:sub>
            <m:r>
              <m:t>s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is the set of occupied voxel indices generated from</w:t>
      </w:r>
      <w:r>
        <w:t xml:space="preserve"> </w:t>
      </w:r>
      <w:r>
        <w:t xml:space="preserve">point set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edge length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The design target is not</w:t>
      </w:r>
      <w:r>
        <w:t xml:space="preserve"> </w:t>
      </w:r>
      <w:r>
        <w:t xml:space="preserve">“the mathematically optimal voxel size,”</w:t>
      </w:r>
      <w:r>
        <w:t xml:space="preserve"> </w:t>
      </w:r>
      <w:r>
        <w:t xml:space="preserve">because that</w:t>
      </w:r>
      <w:r>
        <w:t xml:space="preserve"> </w:t>
      </w:r>
      <w:r>
        <w:t xml:space="preserve">quantity is undefined until an optimization criterion is chosen. Instead, the</w:t>
      </w:r>
      <w:r>
        <w:t xml:space="preserve"> </w:t>
      </w:r>
      <w:r>
        <w:t xml:space="preserve">configuration specifies a desired number of occupied interaction voxels,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. This is a computational and task-level resolution target:</w:t>
      </w:r>
      <w:r>
        <w:t xml:space="preserve"> </w:t>
      </w:r>
      <w:r>
        <w:t xml:space="preserve">it controls the approximate number of handover candidates and therefore the</w:t>
      </w:r>
      <w:r>
        <w:t xml:space="preserve"> </w:t>
      </w:r>
      <w:r>
        <w:t xml:space="preserve">cost and granularity of subsequent selection.</w:t>
      </w:r>
    </w:p>
    <w:p>
      <w:pPr>
        <w:pStyle w:val="BodyText"/>
      </w:pPr>
      <w:r>
        <w:t xml:space="preserve">Voxelized workspace and capability maps are established representations for</w:t>
      </w:r>
      <w:r>
        <w:t xml:space="preserve"> </w:t>
      </w:r>
      <w:r>
        <w:t xml:space="preserve">robot-arm reachability</w:t>
      </w:r>
      <w:r>
        <w:t xml:space="preserve"> </w:t>
      </w:r>
      <w:r>
        <w:t xml:space="preserve">(</w:t>
      </w:r>
      <w:hyperlink w:anchor="ref-Zacharias2007">
        <w:r>
          <w:rPr>
            <w:rStyle w:val="Hyperlink"/>
          </w:rPr>
          <w:t xml:space="preserve">Zacharias, Borst, and Hirzinger 2007</w:t>
        </w:r>
      </w:hyperlink>
      <w:r>
        <w:t xml:space="preserve">;</w:t>
      </w:r>
      <w:r>
        <w:t xml:space="preserve"> </w:t>
      </w:r>
      <w:hyperlink w:anchor="ref-AndersonSprecher2012">
        <w:r>
          <w:rPr>
            <w:rStyle w:val="Hyperlink"/>
          </w:rPr>
          <w:t xml:space="preserve">Anderson-Sprecher and Simmons 2012</w:t>
        </w:r>
      </w:hyperlink>
      <w:r>
        <w:t xml:space="preserve">)</w:t>
      </w:r>
      <w:r>
        <w:t xml:space="preserve">. The special</w:t>
      </w:r>
      <w:r>
        <w:t xml:space="preserve"> </w:t>
      </w:r>
      <w:r>
        <w:t xml:space="preserve">problem addressed here is choosing the resolution automatically from already</w:t>
      </w:r>
      <w:r>
        <w:t xml:space="preserve"> </w:t>
      </w:r>
      <w:r>
        <w:t xml:space="preserve">sampled workspaces.</w:t>
      </w:r>
    </w:p>
    <w:bookmarkEnd w:id="22"/>
    <w:bookmarkStart w:id="25" w:name="input-model-and-coordinate-frames"/>
    <w:p>
      <w:pPr>
        <w:pStyle w:val="Heading1"/>
      </w:pPr>
      <w:r>
        <w:t xml:space="preserve">2. Input model and coordinate frames</w:t>
      </w:r>
    </w:p>
    <w:bookmarkStart w:id="23" w:name="reachable-samples"/>
    <w:p>
      <w:pPr>
        <w:pStyle w:val="Heading2"/>
      </w:pPr>
      <w:r>
        <w:t xml:space="preserve">2.1 Reachable samples</w:t>
      </w:r>
    </w:p>
    <w:p>
      <w:pPr>
        <w:pStyle w:val="FirstParagraph"/>
      </w:pPr>
      <w:r>
        <w:t xml:space="preserve">The WoMAT workspace CSV format contains</w:t>
      </w:r>
    </w:p>
    <w:p>
      <w:pPr>
        <w:pStyle w:val="SourceCode"/>
      </w:pPr>
      <w:r>
        <w:rPr>
          <w:rStyle w:val="VerbatimChar"/>
        </w:rPr>
        <w:t xml:space="preserve">X,Y,Z,Collision_state</w:t>
      </w:r>
    </w:p>
    <w:p>
      <w:pPr>
        <w:pStyle w:val="FirstParagraph"/>
      </w:pPr>
      <w:r>
        <w:t xml:space="preserve">Only rows with</w:t>
      </w:r>
      <w:r>
        <w:t xml:space="preserve"> </w:t>
      </w:r>
      <w:r>
        <w:rPr>
          <w:rStyle w:val="VerbatimChar"/>
        </w:rPr>
        <w:t xml:space="preserve">Collision_state = 1</w:t>
      </w:r>
      <w:r>
        <w:t xml:space="preserve"> </w:t>
      </w:r>
      <w:r>
        <w:t xml:space="preserve">are used. Non-finite rows are rejected and</w:t>
      </w:r>
      <w:r>
        <w:t xml:space="preserve"> </w:t>
      </w:r>
      <w:r>
        <w:t xml:space="preserve">exact duplicate XYZ points are removed before spacing estimation. The method</w:t>
      </w:r>
      <w:r>
        <w:t xml:space="preserve"> </w:t>
      </w:r>
      <w:r>
        <w:t xml:space="preserve">assumes that these samples approximate a</w:t>
      </w:r>
      <w:r>
        <w:t xml:space="preserve"> </w:t>
      </w:r>
      <w:r>
        <w:rPr>
          <w:b/>
          <w:bCs/>
        </w:rPr>
        <w:t xml:space="preserve">three-dimensional reachable volume</w:t>
      </w:r>
      <w:r>
        <w:t xml:space="preserve">.</w:t>
      </w:r>
      <w:r>
        <w:t xml:space="preserve"> </w:t>
      </w:r>
      <w:r>
        <w:t xml:space="preserve">If the CSV contains only a two-dimensional boundary surface, the cubic volume</w:t>
      </w:r>
      <w:r>
        <w:t xml:space="preserve"> </w:t>
      </w:r>
      <w:r>
        <w:t xml:space="preserve">model in Section 6 is inappropriate.</w:t>
      </w:r>
    </w:p>
    <w:bookmarkEnd w:id="23"/>
    <w:bookmarkStart w:id="24" w:name="X5b8753608ea9f554cddb038d4062593909f576c"/>
    <w:p>
      <w:pPr>
        <w:pStyle w:val="Heading2"/>
      </w:pPr>
      <w:r>
        <w:t xml:space="preserve">2.2 Transforming each workspace into the world frame</w:t>
      </w:r>
    </w:p>
    <w:p>
      <w:pPr>
        <w:pStyle w:val="FirstParagraph"/>
      </w:pPr>
      <w:r>
        <w:t xml:space="preserve">The workspace files store robot-local coordinates. For robot</w:t>
      </w:r>
      <w:r>
        <w:t xml:space="preserve"> </w:t>
      </w:r>
      <m:oMath>
        <m:r>
          <m:t>r</m:t>
        </m:r>
      </m:oMath>
      <w:r>
        <w:t xml:space="preserve">, let its base</w:t>
      </w:r>
      <w:r>
        <w:t xml:space="preserve"> </w:t>
      </w:r>
      <w:r>
        <w:t xml:space="preserve">translation be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r</m:t>
                      </m:r>
                    </m:sub>
                  </m:sSub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</m:oMath>
      </m:oMathPara>
    </w:p>
    <w:p>
      <w:pPr>
        <w:pStyle w:val="FirstParagraph"/>
      </w:pPr>
      <w:r>
        <w:t xml:space="preserve">and its yaw rotation be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. The world point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r>
                <m:t>W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r</m:t>
                  </m:r>
                </m:sub>
              </m:sSub>
            </m:e>
          </m:d>
          <m:sSup>
            <m:e>
              <m:r>
                <m:rPr>
                  <m:sty m:val="b"/>
                </m:rPr>
                <m:t>p</m:t>
              </m:r>
            </m:e>
            <m:sup>
              <m:r>
                <m:t>L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z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 distance, bounding-box, proximity, origin, and voxel calculations are</w:t>
      </w:r>
      <w:r>
        <w:t xml:space="preserve"> </w:t>
      </w:r>
      <w:r>
        <w:t xml:space="preserve">performed after this transformation. Mixing local frames would produce a</w:t>
      </w:r>
      <w:r>
        <w:t xml:space="preserve"> </w:t>
      </w:r>
      <w:r>
        <w:t xml:space="preserve">geometrically meaningless intersection.</w:t>
      </w:r>
    </w:p>
    <w:bookmarkEnd w:id="24"/>
    <w:bookmarkEnd w:id="25"/>
    <w:bookmarkStart w:id="26" w:name="step-1-native-point-cloud-spacing"/>
    <w:p>
      <w:pPr>
        <w:pStyle w:val="Heading1"/>
      </w:pPr>
      <w:r>
        <w:t xml:space="preserve">3. Step 1 — native point-cloud spacing</w:t>
      </w:r>
    </w:p>
    <w:p>
      <w:pPr>
        <w:pStyle w:val="FirstParagraph"/>
      </w:pPr>
      <w:r>
        <w:t xml:space="preserve">For every distinct point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workspace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, define the distance</w:t>
      </w:r>
      <w:r>
        <w:t xml:space="preserve"> </w:t>
      </w:r>
      <w:r>
        <w:t xml:space="preserve">to the nearest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point: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project uses a robust percentile rather than the arithmetic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q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denotes quantile</w:t>
      </w:r>
      <w:r>
        <w:t xml:space="preserve"> </w:t>
      </w:r>
      <m:oMath>
        <m:r>
          <m:t>q</m:t>
        </m:r>
      </m:oMath>
      <w:r>
        <w:t xml:space="preserve">. The default is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0.75</m:t>
        </m:r>
      </m:oMath>
      <w:r>
        <w:t xml:space="preserve">. A median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0.50</m:t>
        </m:r>
      </m:oMath>
      <w:r>
        <w:t xml:space="preserve">) is suitable for approximately uniform Cartesian sampling; the 75th</w:t>
      </w:r>
      <w:r>
        <w:t xml:space="preserve"> </w:t>
      </w:r>
      <w:r>
        <w:t xml:space="preserve">percentile is more conservative when Cartesian density varies because the</w:t>
      </w:r>
      <w:r>
        <w:t xml:space="preserve"> </w:t>
      </w:r>
      <w:r>
        <w:t xml:space="preserve">original samples were generated in joint space.</w:t>
      </w:r>
    </w:p>
    <w:p>
      <w:pPr>
        <w:pStyle w:val="BodyText"/>
      </w:pPr>
      <w:r>
        <w:t xml:space="preserve">The effective supported spacing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 maximum prevents the denser point cloud from claiming a resolution</w:t>
      </w:r>
      <w:r>
        <w:t xml:space="preserve"> </w:t>
      </w:r>
      <w:r>
        <w:t xml:space="preserve">that the sparser cloud does not support. Nearest-neighbour distances are a</w:t>
      </w:r>
      <w:r>
        <w:t xml:space="preserve"> </w:t>
      </w:r>
      <w:r>
        <w:t xml:space="preserve">classical basis for multivariate density estimation</w:t>
      </w:r>
      <w:r>
        <w:t xml:space="preserve"> </w:t>
      </w:r>
      <w:r>
        <w:t xml:space="preserve">(</w:t>
      </w:r>
      <w:hyperlink w:anchor="ref-Loftsgaarden1965">
        <w:r>
          <w:rPr>
            <w:rStyle w:val="Hyperlink"/>
          </w:rPr>
          <w:t xml:space="preserve">Loftsgaarden and Quesenberry 1965</w:t>
        </w:r>
      </w:hyperlink>
      <w:r>
        <w:t xml:space="preserve">)</w:t>
      </w:r>
      <w:r>
        <w:t xml:space="preserve">. Local</w:t>
      </w:r>
      <w:r>
        <w:t xml:space="preserve"> </w:t>
      </w:r>
      <w:r>
        <w:t xml:space="preserve">sampling density is also central to point-cloud approximation and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(</w:t>
      </w:r>
      <w:hyperlink w:anchor="ref-Pauly2002">
        <w:r>
          <w:rPr>
            <w:rStyle w:val="Hyperlink"/>
          </w:rPr>
          <w:t xml:space="preserve">Pauly, Gross, and Kobbelt 2002</w:t>
        </w:r>
      </w:hyperlink>
      <w:r>
        <w:t xml:space="preserve">)</w:t>
      </w:r>
      <w:r>
        <w:t xml:space="preserve">. Here, however,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used as an</w:t>
      </w:r>
      <w:r>
        <w:t xml:space="preserve"> </w:t>
      </w:r>
      <w:r>
        <w:t xml:space="preserve">engineering lower resolution bound, not as an unbiased statistical estimator.</w:t>
      </w:r>
    </w:p>
    <w:p>
      <w:pPr>
        <w:pStyle w:val="BodyText"/>
      </w:pPr>
      <w:r>
        <w:t xml:space="preserve">For large clouds,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points are selected with a deterministic seeded</w:t>
      </w:r>
      <w:r>
        <w:t xml:space="preserve"> </w:t>
      </w:r>
      <w:r>
        <w:t xml:space="preserve">shuffle. Defaults are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and seed 42. Deterministic sampling makes the</w:t>
      </w:r>
      <w:r>
        <w:t xml:space="preserve"> </w:t>
      </w:r>
      <w:r>
        <w:t xml:space="preserve">result reproducible.</w:t>
      </w:r>
    </w:p>
    <w:bookmarkEnd w:id="26"/>
    <w:bookmarkStart w:id="27" w:name="step-2-bounding-box-overlap-gate"/>
    <w:p>
      <w:pPr>
        <w:pStyle w:val="Heading1"/>
      </w:pPr>
      <w:r>
        <w:t xml:space="preserve">4. Step 2 — bounding-box overlap gate</w:t>
      </w:r>
    </w:p>
    <w:p>
      <w:pPr>
        <w:pStyle w:val="FirstParagraph"/>
      </w:pPr>
      <w:r>
        <w:t xml:space="preserve">For workspace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, define the axis-aligned bounding box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×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overlap length on axis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sSub>
            <m:e>
              <m:r>
                <m:t>L</m:t>
              </m:r>
            </m:e>
            <m:sub>
              <m:r>
                <m:t>y</m:t>
              </m:r>
            </m:sub>
          </m:sSub>
          <m:sSub>
            <m:e>
              <m:r>
                <m:t>L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implementation returns</w:t>
      </w:r>
      <w:r>
        <w:t xml:space="preserve"> </w:t>
      </w:r>
      <w:r>
        <w:rPr>
          <w:rStyle w:val="VerbatimChar"/>
        </w:rPr>
        <w:t xml:space="preserve">no_geometric_overlap</w:t>
      </w:r>
      <w:r>
        <w:t xml:space="preserve"> </w:t>
      </w:r>
      <w:r>
        <w:t xml:space="preserve">without building the proximity estimator. If it is</w:t>
      </w:r>
      <w:r>
        <w:t xml:space="preserve"> </w:t>
      </w:r>
      <w:r>
        <w:t xml:space="preserve">positive, the value is only a coarse upper proxy. Curved, hollow, disconnected,</w:t>
      </w:r>
      <w:r>
        <w:t xml:space="preserve"> </w:t>
      </w:r>
      <w:r>
        <w:t xml:space="preserve">or non-convex workspaces can occupy far less volume than their boxes.</w:t>
      </w:r>
    </w:p>
    <w:bookmarkEnd w:id="27"/>
    <w:bookmarkStart w:id="28" w:name="X33ad0d2b783042b0cf50ddb79a38b6274ee3d4f"/>
    <w:p>
      <w:pPr>
        <w:pStyle w:val="Heading1"/>
      </w:pPr>
      <w:r>
        <w:t xml:space="preserve">5. Step 3 — proximity approximation without voxelisation</w:t>
      </w:r>
    </w:p>
    <w:p>
      <w:pPr>
        <w:pStyle w:val="FirstParagraph"/>
      </w:pPr>
      <w:r>
        <w:t xml:space="preserve">A three-dimensional KD-tree is built for the target point cloud. KD-trees were</w:t>
      </w:r>
      <w:r>
        <w:t xml:space="preserve"> </w:t>
      </w:r>
      <w:r>
        <w:t xml:space="preserve">introduced for efficient multidimensional associative search</w:t>
      </w:r>
      <w:r>
        <w:t xml:space="preserve"> </w:t>
      </w:r>
      <w:r>
        <w:t xml:space="preserve">(</w:t>
      </w:r>
      <w:hyperlink w:anchor="ref-Bentley1975">
        <w:r>
          <w:rPr>
            <w:rStyle w:val="Hyperlink"/>
          </w:rPr>
          <w:t xml:space="preserve">Bentley 1975</w:t>
        </w:r>
      </w:hyperlink>
      <w:r>
        <w:t xml:space="preserve">)</w:t>
      </w:r>
      <w:r>
        <w:t xml:space="preserve"> </w:t>
      </w:r>
      <w:r>
        <w:t xml:space="preserve">and are used here for nearest-neighbour and fixed-radius queries.</w:t>
      </w:r>
    </w:p>
    <w:p>
      <w:pPr>
        <w:pStyle w:val="BodyText"/>
      </w:pPr>
      <w:r>
        <w:t xml:space="preserve">For every sampled point in direction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i</m:t>
              </m:r>
            </m:sub>
            <m:sup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q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lim>
          </m:limLow>
          <m:sSub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p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q</m:t>
                  </m:r>
                </m:e>
              </m:d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proximity radius is coupled to native resolution: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κ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1.25</m:t>
        </m:r>
      </m:oMath>
      <w:r>
        <w:t xml:space="preserve"> </w:t>
      </w:r>
      <w:r>
        <w:t xml:space="preserve">by default. A point is</w:t>
      </w:r>
      <w:r>
        <w:t xml:space="preserve"> </w:t>
      </w:r>
      <w:r>
        <w:t xml:space="preserve">“close”</w:t>
      </w:r>
      <w:r>
        <w:t xml:space="preserve"> </w:t>
      </w:r>
      <w:r>
        <w:t xml:space="preserve">when</w:t>
      </w:r>
      <w:r>
        <w:t xml:space="preserve"> </w:t>
      </w:r>
      <m:oMath>
        <m:sSubSup>
          <m:e>
            <m:r>
              <m:t>δ</m:t>
            </m:r>
          </m:e>
          <m:sub>
            <m:r>
              <m:t>i</m:t>
            </m:r>
          </m:sub>
          <m:sup>
            <m:r>
              <m:t>1</m:t>
            </m:r>
            <m:r>
              <m:rPr>
                <m:sty m:val="p"/>
              </m:rPr>
              <m:t>→</m:t>
            </m:r>
            <m:r>
              <m:t>2</m:t>
            </m:r>
          </m:sup>
        </m:sSubSup>
        <m:r>
          <m:rPr>
            <m:sty m:val="p"/>
          </m:rPr>
          <m:t>≤</m:t>
        </m:r>
        <m:r>
          <m:t>ρ</m:t>
        </m:r>
      </m:oMath>
      <w:r>
        <w:t xml:space="preserve">. If</w:t>
      </w:r>
      <w:r>
        <w:t xml:space="preserve"> </w:t>
      </w:r>
      <m:oMath>
        <m:sSub>
          <m:e>
            <m:r>
              <m:t>c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sampled points are</w:t>
      </w:r>
      <w:r>
        <w:t xml:space="preserve"> </w:t>
      </w:r>
      <w:r>
        <w:t xml:space="preserve">close, the full-cloud count estimate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calculation is repeated in reverse to reduce density-asymmetry bias: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WoMAT combines the directional overlap fractions conservatively: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12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21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symmetrization is a project-specific choice. It suppresses a large result</w:t>
      </w:r>
      <w:r>
        <w:t xml:space="preserve"> </w:t>
      </w:r>
      <w:r>
        <w:t xml:space="preserve">when only the denser cloud reports a high close-point fraction.</w:t>
      </w:r>
    </w:p>
    <w:bookmarkEnd w:id="28"/>
    <w:bookmarkStart w:id="33" w:name="step-4-deriving-voxel-edge-length"/>
    <w:p>
      <w:pPr>
        <w:pStyle w:val="Heading1"/>
      </w:pPr>
      <w:r>
        <w:t xml:space="preserve">6. Step 4 — deriving voxel edge length</w:t>
      </w:r>
    </w:p>
    <w:bookmarkStart w:id="29" w:name="characteristic-sample-volume"/>
    <w:p>
      <w:pPr>
        <w:pStyle w:val="Heading2"/>
      </w:pPr>
      <w:r>
        <w:t xml:space="preserve">6.1 Characteristic sample volume</w:t>
      </w:r>
    </w:p>
    <w:p>
      <w:pPr>
        <w:pStyle w:val="FirstParagraph"/>
      </w:pPr>
      <w:r>
        <w:t xml:space="preserve">If the point clouds approximately sample a 3-D volume, a characteristic sample</w:t>
      </w:r>
      <w:r>
        <w:t xml:space="preserve"> </w:t>
      </w:r>
      <w:r>
        <w:t xml:space="preserve">spacing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corresponds dimensionally to a characteristic volume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∝</m:t>
          </m:r>
          <m:sSubSup>
            <m:e>
              <m:r>
                <m:t>d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WoMAT chooses the proportionality constant as one and approximates interaction</w:t>
      </w:r>
      <w:r>
        <w:t xml:space="preserve"> </w:t>
      </w:r>
      <w:r>
        <w:t xml:space="preserve">volume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N</m:t>
                  </m:r>
                </m:e>
              </m:acc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sSubSup>
            <m:e>
              <m:r>
                <m:t>d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deliberately a prior approximation. It is not an exact union-volume</w:t>
      </w:r>
      <w:r>
        <w:t xml:space="preserve"> </w:t>
      </w:r>
      <w:r>
        <w:t xml:space="preserve">estimator, and no claim is made that every sample owns a disjoint cube of side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.</w:t>
      </w:r>
    </w:p>
    <w:bookmarkEnd w:id="29"/>
    <w:bookmarkStart w:id="30" w:name="target-voxel-count"/>
    <w:p>
      <w:pPr>
        <w:pStyle w:val="Heading2"/>
      </w:pPr>
      <w:r>
        <w:t xml:space="preserve">6.2 Target voxel count</w:t>
      </w:r>
    </w:p>
    <w:p>
      <w:pPr>
        <w:pStyle w:val="FirstParagraph"/>
      </w:pPr>
      <w:r>
        <w:t xml:space="preserve">A cubic voxel of edge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exact volume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Ignoring boundary and occupancy effects, a volume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contains approximately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V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voxels. Solving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≈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and the configured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yields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implementation does not refine below native sampling resolution. Equivalently,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ad>
            <m:deg>
              <m:r>
                <m:t>3</m:t>
              </m:r>
            </m:deg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N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cube root is not an empirical fitted exponent: it follows from using cubic</w:t>
      </w:r>
      <w:r>
        <w:t xml:space="preserve"> </w:t>
      </w:r>
      <w:r>
        <w:t xml:space="preserve">cells in three spatial dimensions. In general dimension</w:t>
      </w:r>
      <w:r>
        <w:t xml:space="preserve"> </w:t>
      </w:r>
      <m:oMath>
        <m:r>
          <m:t>D</m:t>
        </m:r>
      </m:oMath>
      <w:r>
        <w:t xml:space="preserve">, the corresponding</w:t>
      </w:r>
      <w:r>
        <w:t xml:space="preserve"> </w:t>
      </w:r>
      <w:r>
        <w:t xml:space="preserve">scaling would be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.</w:t>
      </w:r>
    </w:p>
    <w:bookmarkEnd w:id="30"/>
    <w:bookmarkStart w:id="31" w:name="bounding-box-fallback"/>
    <w:p>
      <w:pPr>
        <w:pStyle w:val="Heading2"/>
      </w:pPr>
      <w:r>
        <w:t xml:space="preserve">6.3 Bounding-box fallback</w:t>
      </w:r>
    </w:p>
    <w:p>
      <w:pPr>
        <w:pStyle w:val="FirstParagraph"/>
      </w:pPr>
      <w:r>
        <w:t xml:space="preserve">If the bounding boxes overlap but the sampled proximity count is zero, one</w:t>
      </w:r>
      <w:r>
        <w:t xml:space="preserve"> </w:t>
      </w:r>
      <w:r>
        <w:t xml:space="preserve">fallback estimate is used: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ad>
                <m:deg>
                  <m:r>
                    <m:t>3</m:t>
                  </m:r>
                </m:deg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</m:sub>
                      </m:sSub>
                    </m:den>
                  </m:f>
                </m:e>
              </m:ra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algorithm then performs the normal single voxelisation. It does not run a</w:t>
      </w:r>
      <w:r>
        <w:t xml:space="preserve"> </w:t>
      </w:r>
      <w:r>
        <w:t xml:space="preserve">resolution sweep.</w:t>
      </w:r>
    </w:p>
    <w:bookmarkEnd w:id="31"/>
    <w:bookmarkStart w:id="32" w:name="engineering-bounds"/>
    <w:p>
      <w:pPr>
        <w:pStyle w:val="Heading2"/>
      </w:pPr>
      <w:r>
        <w:t xml:space="preserve">6.4 Engineering bounds</w:t>
      </w:r>
    </w:p>
    <w:p>
      <w:pPr>
        <w:pStyle w:val="FirstParagraph"/>
      </w:pPr>
      <w:r>
        <w:t xml:space="preserve">The final value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can represent robot accuracy, calibration uncertainty, or the</w:t>
      </w:r>
      <w:r>
        <w:t xml:space="preserve"> </w:t>
      </w:r>
      <w:r>
        <w:t xml:space="preserve">minimum meaningful handover tolerance.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limits geometric coarseness.</w:t>
      </w:r>
      <w:r>
        <w:t xml:space="preserve"> </w:t>
      </w:r>
      <w:r>
        <w:t xml:space="preserve">The configuration is rejected if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.</w:t>
      </w:r>
    </w:p>
    <w:bookmarkEnd w:id="32"/>
    <w:bookmarkEnd w:id="33"/>
    <w:bookmarkStart w:id="34" w:name="step-5-one-shared-voxel-grid"/>
    <w:p>
      <w:pPr>
        <w:pStyle w:val="Heading1"/>
      </w:pPr>
      <w:r>
        <w:t xml:space="preserve">7. Step 5 — one shared voxel grid</w:t>
      </w:r>
    </w:p>
    <w:p>
      <w:pPr>
        <w:pStyle w:val="FirstParagraph"/>
      </w:pPr>
      <w:r>
        <w:t xml:space="preserve">The shared origin is the component-wise minimum over both world-space clouds: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o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rPr>
                            <m:sty m:val="b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∪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lim>
                    </m:limLow>
                    <m:sSub>
                      <m:e>
                        <m:r>
                          <m:t>p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rPr>
                            <m:sty m:val="b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∪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lim>
                    </m:limLow>
                    <m:sSub>
                      <m:e>
                        <m:r>
                          <m:t>p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rPr>
                            <m:sty m:val="b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∪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lim>
                    </m:limLow>
                    <m:sSub>
                      <m:e>
                        <m:r>
                          <m:t>p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point is mapped to an integer voxel index: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b"/>
                    </m:rP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"/>
                    </m:rPr>
                    <m:t>o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subtraction, division, and floor are component-wise. The occupied sets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"/>
            </m:rP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:</m:t>
          </m:r>
          <m:r>
            <m:rPr>
              <m:sty m:val="b"/>
            </m:rPr>
            <m:t>p</m:t>
          </m:r>
          <m:r>
            <m:rPr>
              <m:sty m:val="p"/>
            </m:rPr>
            <m:t>∈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b"/>
            </m:rP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:</m:t>
          </m:r>
          <m:r>
            <m:rPr>
              <m:sty m:val="b"/>
            </m:rPr>
            <m:t>p</m:t>
          </m:r>
          <m:r>
            <m:rPr>
              <m:sty m:val="p"/>
            </m:rPr>
            <m:t>∈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discrete interaction space is the set intersection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I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ty m:val="p"/>
                  <m:scr m:val="script"/>
                </m:rP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interaction index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, its world-space centre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k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o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b"/>
                </m:rP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common origin is mandatory. Using</w:t>
      </w:r>
      <w:r>
        <w:t xml:space="preserve"> </w:t>
      </w:r>
      <m:oMath>
        <m:r>
          <m:rPr>
            <m:sty m:val="p"/>
          </m:rPr>
          <m:t>⌊</m:t>
        </m:r>
        <m:r>
          <m:rPr>
            <m:sty m:val="b"/>
          </m:rPr>
          <m:t>p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⌋</m:t>
        </m:r>
      </m:oMath>
      <w:r>
        <w:t xml:space="preserve"> </w:t>
      </w:r>
      <w:r>
        <w:t xml:space="preserve">independently may happen to align two grids only</w:t>
      </w:r>
      <w:r>
        <w:t xml:space="preserve"> </w:t>
      </w:r>
      <w:r>
        <w:t xml:space="preserve">when both silently share world zero; it does not express the invariant and is</w:t>
      </w:r>
      <w:r>
        <w:t xml:space="preserve"> </w:t>
      </w:r>
      <w:r>
        <w:t xml:space="preserve">fragile under coordinate changes.</w:t>
      </w:r>
    </w:p>
    <w:bookmarkEnd w:id="34"/>
    <w:bookmarkStart w:id="35" w:name="complete-algorithm"/>
    <w:p>
      <w:pPr>
        <w:pStyle w:val="Heading1"/>
      </w:pPr>
      <w:r>
        <w:t xml:space="preserve">8. Complete algorithm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reachable point clouds P1_local, P2_local</w:t>
      </w:r>
      <w:r>
        <w:br/>
      </w:r>
      <w:r>
        <w:rPr>
          <w:rStyle w:val="VerbatimChar"/>
        </w:rPr>
        <w:t xml:space="preserve">  base transforms T1, T2</w:t>
      </w:r>
      <w:r>
        <w:br/>
      </w:r>
      <w:r>
        <w:rPr>
          <w:rStyle w:val="VerbatimChar"/>
        </w:rPr>
        <w:t xml:space="preserve">  target count N_target</w:t>
      </w:r>
      <w:r>
        <w:br/>
      </w:r>
      <w:r>
        <w:rPr>
          <w:rStyle w:val="VerbatimChar"/>
        </w:rPr>
        <w:t xml:space="preserve">  percentile q, proximity factor kappa, sample limit m</w:t>
      </w:r>
      <w:r>
        <w:br/>
      </w:r>
      <w:r>
        <w:rPr>
          <w:rStyle w:val="VerbatimChar"/>
        </w:rPr>
        <w:t xml:space="preserve">  bounds s_min, s_max, deterministic seed</w:t>
      </w:r>
      <w:r>
        <w:br/>
      </w:r>
      <w:r>
        <w:br/>
      </w:r>
      <w:r>
        <w:rPr>
          <w:rStyle w:val="VerbatimChar"/>
        </w:rPr>
        <w:t xml:space="preserve">1. Filter valid reachable rows and remove exact duplicates.</w:t>
      </w:r>
      <w:r>
        <w:br/>
      </w:r>
      <w:r>
        <w:rPr>
          <w:rStyle w:val="VerbatimChar"/>
        </w:rPr>
        <w:t xml:space="preserve">2. Transform both point clouds into the world frame.</w:t>
      </w:r>
      <w:r>
        <w:br/>
      </w:r>
      <w:r>
        <w:rPr>
          <w:rStyle w:val="VerbatimChar"/>
        </w:rPr>
        <w:t xml:space="preserve">3. Compute AABBs; stop if their overlap volume is zero.</w:t>
      </w:r>
      <w:r>
        <w:br/>
      </w:r>
      <w:r>
        <w:rPr>
          <w:rStyle w:val="VerbatimChar"/>
        </w:rPr>
        <w:t xml:space="preserve">4. Estimate d1 and d2 from sampled nearest-neighbour distances.</w:t>
      </w:r>
      <w:r>
        <w:br/>
      </w:r>
      <w:r>
        <w:rPr>
          <w:rStyle w:val="VerbatimChar"/>
        </w:rPr>
        <w:t xml:space="preserve">5. Set d_eff = max(d1, d2) and rho = kappa * d_eff.</w:t>
      </w:r>
      <w:r>
        <w:br/>
      </w:r>
      <w:r>
        <w:rPr>
          <w:rStyle w:val="VerbatimChar"/>
        </w:rPr>
        <w:t xml:space="preserve">6. Estimate close-point counts in both directions with KD-trees.</w:t>
      </w:r>
      <w:r>
        <w:br/>
      </w:r>
      <w:r>
        <w:rPr>
          <w:rStyle w:val="VerbatimChar"/>
        </w:rPr>
        <w:t xml:space="preserve">7. Conservatively combine the two close fractions.</w:t>
      </w:r>
      <w:r>
        <w:br/>
      </w:r>
      <w:r>
        <w:rPr>
          <w:rStyle w:val="VerbatimChar"/>
        </w:rPr>
        <w:t xml:space="preserve">8. Compute s_est from d_eff * cbrt(N_close / N_target), with a</w:t>
      </w:r>
      <w:r>
        <w:br/>
      </w:r>
      <w:r>
        <w:rPr>
          <w:rStyle w:val="VerbatimChar"/>
        </w:rPr>
        <w:t xml:space="preserve">   lower bound of d_eff; use the bounding-box fallback only if necessary.</w:t>
      </w:r>
      <w:r>
        <w:br/>
      </w:r>
      <w:r>
        <w:rPr>
          <w:rStyle w:val="VerbatimChar"/>
        </w:rPr>
        <w:t xml:space="preserve">9. Clamp against engineering limits and validate the result.</w:t>
      </w:r>
      <w:r>
        <w:br/>
      </w:r>
      <w:r>
        <w:rPr>
          <w:rStyle w:val="VerbatimChar"/>
        </w:rPr>
        <w:t xml:space="preserve">10. Compute one shared component-wise origin.</w:t>
      </w:r>
      <w:r>
        <w:br/>
      </w:r>
      <w:r>
        <w:rPr>
          <w:rStyle w:val="VerbatimChar"/>
        </w:rPr>
        <w:t xml:space="preserve">11. Voxelise P1 once and P2 once using the same size and origin.</w:t>
      </w:r>
      <w:r>
        <w:br/>
      </w:r>
      <w:r>
        <w:rPr>
          <w:rStyle w:val="VerbatimChar"/>
        </w:rPr>
        <w:t xml:space="preserve">12. Intersect their occupied integer-key sets.</w:t>
      </w:r>
      <w:r>
        <w:br/>
      </w:r>
      <w:r>
        <w:rPr>
          <w:rStyle w:val="VerbatimChar"/>
        </w:rPr>
        <w:t xml:space="preserve">13. Store voxel centres and estimator diagnostics in Robot 1's private</w:t>
      </w:r>
      <w:r>
        <w:br/>
      </w:r>
      <w:r>
        <w:rPr>
          <w:rStyle w:val="VerbatimChar"/>
        </w:rPr>
        <w:t xml:space="preserve">    interaction-space controller; publish summary beliefs to Robot 1.</w:t>
      </w:r>
    </w:p>
    <w:bookmarkEnd w:id="35"/>
    <w:bookmarkStart w:id="36" w:name="current-robot1robot2-result"/>
    <w:p>
      <w:pPr>
        <w:pStyle w:val="Heading1"/>
      </w:pPr>
      <w:r>
        <w:t xml:space="preserve">9. Current Robot1/Robot2 result</w:t>
      </w:r>
    </w:p>
    <w:p>
      <w:pPr>
        <w:pStyle w:val="FirstParagraph"/>
      </w:pPr>
      <w:r>
        <w:t xml:space="preserve">For the workspace files present on 17 August 2026, the deterministic default</w:t>
      </w:r>
      <w:r>
        <w:t xml:space="preserve"> </w:t>
      </w:r>
      <w:r>
        <w:t xml:space="preserve">configuration produced: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Reachable Robot 1 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Reachable Robot 2 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1 spacing,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0.0356716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2 spacing,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0.0138473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spacing,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0.0356716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 radius,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0.0445895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close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1,358.7369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interaction voxels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Estimated/final voxel 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0.0395095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occupied interaction voxels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Estimator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KD-tree proximity</w:t>
            </w:r>
          </w:p>
        </w:tc>
      </w:tr>
    </w:tbl>
    <w:p>
      <w:pPr>
        <w:pStyle w:val="BodyText"/>
      </w:pPr>
      <w:r>
        <w:t xml:space="preserve">The shared origin was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o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1.2995830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1.3036553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1.1727232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Obtaining 967 instead of exactly 1,000 is expected. The formula estimates</w:t>
      </w:r>
      <w:r>
        <w:t xml:space="preserve"> </w:t>
      </w:r>
      <w:r>
        <w:t xml:space="preserve">continuous volume from discrete samples; boundary placement, duplicate</w:t>
      </w:r>
      <w:r>
        <w:t xml:space="preserve"> </w:t>
      </w:r>
      <w:r>
        <w:t xml:space="preserve">occupancy, nonuniform density, and workspace geometry determine the final</w:t>
      </w:r>
      <w:r>
        <w:t xml:space="preserve"> </w:t>
      </w:r>
      <w:r>
        <w:t xml:space="preserve">integer count.</w:t>
      </w:r>
    </w:p>
    <w:bookmarkEnd w:id="36"/>
    <w:bookmarkStart w:id="37" w:name="why-this-is-a-prior-not-an-optimum"/>
    <w:p>
      <w:pPr>
        <w:pStyle w:val="Heading1"/>
      </w:pPr>
      <w:r>
        <w:t xml:space="preserve">10. Why this is a prior, not an optimum</w:t>
      </w:r>
    </w:p>
    <w:p>
      <w:pPr>
        <w:pStyle w:val="FirstParagraph"/>
      </w:pPr>
      <w:r>
        <w:t xml:space="preserve">The estimator answers:</w:t>
      </w:r>
      <w:r>
        <w:t xml:space="preserve"> </w:t>
      </w:r>
      <w:r>
        <w:t xml:space="preserve">“Which voxel size is likely to produce roughly the</w:t>
      </w:r>
      <w:r>
        <w:t xml:space="preserve"> </w:t>
      </w:r>
      <w:r>
        <w:t xml:space="preserve">desired candidate count without repeatedly voxelising?”</w:t>
      </w:r>
      <w:r>
        <w:t xml:space="preserve"> </w:t>
      </w:r>
      <w:r>
        <w:t xml:space="preserve">It does not solve a</w:t>
      </w:r>
      <w:r>
        <w:t xml:space="preserve"> </w:t>
      </w:r>
      <w:r>
        <w:t xml:space="preserve">universal optimization problem. Important distinctions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 target: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chosen for downstream usefulness,</w:t>
      </w:r>
      <w:r>
        <w:t xml:space="preserve"> </w:t>
      </w:r>
      <w:r>
        <w:t xml:space="preserve">not inferred from geometry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 support: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limits false precision, but robot</w:t>
      </w:r>
      <w:r>
        <w:t xml:space="preserve"> </w:t>
      </w:r>
      <w:r>
        <w:t xml:space="preserve">calibration uncertainty may require a larger lower bound.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Occupancy approximation:</w:t>
      </w:r>
      <w:r>
        <w:t xml:space="preserve"> </w:t>
      </w:r>
      <w:r>
        <w:t xml:space="preserve">a sampled point causes its whole voxel to count</w:t>
      </w:r>
      <w:r>
        <w:t xml:space="preserve"> </w:t>
      </w:r>
      <w:r>
        <w:t xml:space="preserve">as occupied; this can overestimate the continuous intersection near boundaries.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 only:</w:t>
      </w:r>
      <w:r>
        <w:t xml:space="preserve"> </w:t>
      </w:r>
      <w:r>
        <w:t xml:space="preserve">the current grid represents TCP position in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not orientation in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or complete pose in</w:t>
      </w:r>
      <w:r>
        <w:t xml:space="preserve"> </w:t>
      </w:r>
      <m:oMath>
        <m:r>
          <m:t>S</m:t>
        </m:r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. Capability maps often</w:t>
      </w:r>
      <w:r>
        <w:t xml:space="preserve"> </w:t>
      </w:r>
      <w:r>
        <w:t xml:space="preserve">discretize orientations as well</w:t>
      </w:r>
      <w:r>
        <w:t xml:space="preserve"> </w:t>
      </w:r>
      <w:r>
        <w:t xml:space="preserve">(</w:t>
      </w:r>
      <w:hyperlink w:anchor="ref-Zacharias2007">
        <w:r>
          <w:rPr>
            <w:rStyle w:val="Hyperlink"/>
          </w:rPr>
          <w:t xml:space="preserve">Zacharias, Borst, and Hirzinger 2007</w:t>
        </w:r>
      </w:hyperlink>
      <w:r>
        <w:t xml:space="preserve">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Reachability, not path feasibility:</w:t>
      </w:r>
      <w:r>
        <w:t xml:space="preserve"> </w:t>
      </w:r>
      <w:r>
        <w:t xml:space="preserve">intersection means both workspaces</w:t>
      </w:r>
      <w:r>
        <w:t xml:space="preserve"> </w:t>
      </w:r>
      <w:r>
        <w:t xml:space="preserve">contain samples in the same cell. Runtime collision checking and motion</w:t>
      </w:r>
      <w:r>
        <w:t xml:space="preserve"> </w:t>
      </w:r>
      <w:r>
        <w:t xml:space="preserve">planning remain necessary.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Sampling bias:</w:t>
      </w:r>
      <w:r>
        <w:t xml:space="preserve"> </w:t>
      </w:r>
      <w:r>
        <w:t xml:space="preserve">uniform joint-space sampling is generally nonuniform in</w:t>
      </w:r>
      <w:r>
        <w:t xml:space="preserve"> </w:t>
      </w:r>
      <w:r>
        <w:t xml:space="preserve">Cartesian space. A single global percentile cannot fully correct this.</w:t>
      </w:r>
    </w:p>
    <w:bookmarkEnd w:id="37"/>
    <w:bookmarkStart w:id="38" w:name="parameter-interpretation"/>
    <w:p>
      <w:pPr>
        <w:pStyle w:val="Heading1"/>
      </w:pPr>
      <w:r>
        <w:t xml:space="preserve">11. Parameter interpretation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 of increasing it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Smaller voxels, more candidates and memory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More conservative/larger native spacing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More points classified as near the other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size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Lower sampling variance, higher pre-estimation time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 m</w:t>
            </w:r>
          </w:p>
        </w:tc>
        <w:tc>
          <w:tcPr/>
          <w:p>
            <w:pPr>
              <w:pStyle w:val="Compact"/>
            </w:pPr>
            <w:r>
              <w:t xml:space="preserve">Enforces physical/accuracy lower resolution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 m</w:t>
            </w:r>
          </w:p>
        </w:tc>
        <w:tc>
          <w:tcPr/>
          <w:p>
            <w:pPr>
              <w:pStyle w:val="Compact"/>
            </w:pPr>
            <w:r>
              <w:t xml:space="preserve">Caps excessive coarseness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Reduces asymmetric-density bias</w:t>
            </w:r>
          </w:p>
        </w:tc>
      </w:tr>
    </w:tbl>
    <w:p>
      <w:pPr>
        <w:pStyle w:val="BodyText"/>
      </w:pPr>
      <w:r>
        <w:t xml:space="preserve">Sensitivity follows directly from the cube root. For example, multiplying the</w:t>
      </w:r>
      <w:r>
        <w:t xml:space="preserve"> </w:t>
      </w:r>
      <w:r>
        <w:t xml:space="preserve">estimated overlap count by eight multiplies the estimated voxel edge by two.</w:t>
      </w:r>
      <w:r>
        <w:t xml:space="preserve"> </w:t>
      </w:r>
      <w:r>
        <w:t xml:space="preserve">Likewise, multiplying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by eight divides the edge length by</w:t>
      </w:r>
      <w:r>
        <w:t xml:space="preserve"> </w:t>
      </w:r>
      <w:r>
        <w:t xml:space="preserve">two, before lower-bound clamping.</w:t>
      </w:r>
    </w:p>
    <w:bookmarkEnd w:id="38"/>
    <w:bookmarkStart w:id="39" w:name="computational-considerations"/>
    <w:p>
      <w:pPr>
        <w:pStyle w:val="Heading1"/>
      </w:pPr>
      <w:r>
        <w:t xml:space="preserve">12. Computational considerations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 and a balanced KD-tree, nearest and radius queries are efficient</w:t>
      </w:r>
      <w:r>
        <w:t xml:space="preserve"> </w:t>
      </w:r>
      <w:r>
        <w:t xml:space="preserve">on typical low-dimensional data, although worst-case query time remains linear.</w:t>
      </w:r>
      <w:r>
        <w:t xml:space="preserve"> </w:t>
      </w:r>
      <w:r>
        <w:t xml:space="preserve">The present JavaScript implementation recursively sorts point subsets, giving</w:t>
      </w:r>
      <w:r>
        <w:t xml:space="preserve"> </w:t>
      </w:r>
      <w:r>
        <w:t xml:space="preserve">approximately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sSup>
              <m:e>
                <m:r>
                  <m:rPr>
                    <m:sty m:val="p"/>
                  </m:rPr>
                  <m:t>log</m:t>
                </m:r>
              </m:e>
              <m:sup>
                <m:r>
                  <m:t>2</m:t>
                </m:r>
              </m:sup>
            </m:sSup>
            <m:r>
              <m:t>n</m:t>
            </m:r>
          </m:e>
        </m:d>
      </m:oMath>
      <w:r>
        <w:t xml:space="preserve"> </w:t>
      </w:r>
      <w:r>
        <w:t xml:space="preserve">construction in this implementation rather than an</w:t>
      </w:r>
      <w:r>
        <w:t xml:space="preserve"> </w:t>
      </w:r>
      <w:r>
        <w:t xml:space="preserve">optimized linear-time median build. Estimation queries are performed only for</w:t>
      </w:r>
      <w:r>
        <w:t xml:space="preserve"> </w:t>
      </w:r>
      <w:r>
        <w:t xml:space="preserve">the deterministic sample of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points.</w:t>
      </w:r>
    </w:p>
    <w:p>
      <w:pPr>
        <w:pStyle w:val="BodyText"/>
      </w:pPr>
      <w:r>
        <w:t xml:space="preserve">After estimating</w:t>
      </w:r>
      <w:r>
        <w:t xml:space="preserve"> </w:t>
      </w:r>
      <m:oMath>
        <m:r>
          <m:t>s</m:t>
        </m:r>
      </m:oMath>
      <w:r>
        <w:t xml:space="preserve">, voxelisation is linear in the number of raw points: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Hash-set intersection is linear in the smaller occupied set on average. Memory</w:t>
      </w:r>
      <w:r>
        <w:t xml:space="preserve"> </w:t>
      </w:r>
      <w:r>
        <w:t xml:space="preserve">is proportional to the number of points during estimation and to the number of</w:t>
      </w:r>
      <w:r>
        <w:t xml:space="preserve"> </w:t>
      </w:r>
      <w:r>
        <w:t xml:space="preserve">occupied cells during voxelisation. More sophisticated octree representations,</w:t>
      </w:r>
      <w:r>
        <w:t xml:space="preserve"> </w:t>
      </w:r>
      <w:r>
        <w:t xml:space="preserve">such as OctoMap, are valuable when probabilistic occupancy, multi-resolution</w:t>
      </w:r>
      <w:r>
        <w:t xml:space="preserve"> </w:t>
      </w:r>
      <w:r>
        <w:t xml:space="preserve">queries, or large environments are required</w:t>
      </w:r>
      <w:r>
        <w:t xml:space="preserve"> </w:t>
      </w:r>
      <w:r>
        <w:t xml:space="preserve">(</w:t>
      </w:r>
      <w:hyperlink w:anchor="ref-Hornung2013">
        <w:r>
          <w:rPr>
            <w:rStyle w:val="Hyperlink"/>
          </w:rPr>
          <w:t xml:space="preserve">Hornung et al. 2013</w:t>
        </w:r>
      </w:hyperlink>
      <w:r>
        <w:t xml:space="preserve">)</w:t>
      </w:r>
      <w:r>
        <w:t xml:space="preserve">. WoMAT deliberately</w:t>
      </w:r>
      <w:r>
        <w:t xml:space="preserve"> </w:t>
      </w:r>
      <w:r>
        <w:t xml:space="preserve">uses a single-resolution hash grid because it needs a simple, reproducible set</w:t>
      </w:r>
      <w:r>
        <w:t xml:space="preserve"> </w:t>
      </w:r>
      <w:r>
        <w:t xml:space="preserve">intersection.</w:t>
      </w:r>
    </w:p>
    <w:bookmarkEnd w:id="39"/>
    <w:bookmarkStart w:id="43" w:name="recommended-thesis-evaluation"/>
    <w:p>
      <w:pPr>
        <w:pStyle w:val="Heading1"/>
      </w:pPr>
      <w:r>
        <w:t xml:space="preserve">13. Recommended thesis evaluation</w:t>
      </w:r>
    </w:p>
    <w:p>
      <w:pPr>
        <w:pStyle w:val="FirstParagraph"/>
      </w:pPr>
      <w:r>
        <w:t xml:space="preserve">The method should be evaluated empirically rather than justified only by the</w:t>
      </w:r>
      <w:r>
        <w:t xml:space="preserve"> </w:t>
      </w:r>
      <w:r>
        <w:t xml:space="preserve">current successful example.</w:t>
      </w:r>
    </w:p>
    <w:bookmarkStart w:id="40" w:name="baselines"/>
    <w:p>
      <w:pPr>
        <w:pStyle w:val="Heading2"/>
      </w:pPr>
      <w:r>
        <w:t xml:space="preserve">13.1 Baselines</w:t>
      </w:r>
    </w:p>
    <w:p>
      <w:pPr>
        <w:pStyle w:val="FirstParagraph"/>
      </w:pPr>
      <w:r>
        <w:t xml:space="preserve">Compare against:</w:t>
      </w:r>
    </w:p>
    <w:p>
      <w:pPr>
        <w:pStyle w:val="Compact"/>
        <w:numPr>
          <w:ilvl w:val="0"/>
          <w:numId w:val="1004"/>
        </w:numPr>
      </w:pPr>
      <w:r>
        <w:t xml:space="preserve">the former fixed size, 0.05 m;</w:t>
      </w:r>
    </w:p>
    <w:p>
      <w:pPr>
        <w:pStyle w:val="Compact"/>
        <w:numPr>
          <w:ilvl w:val="0"/>
          <w:numId w:val="1004"/>
        </w:numPr>
      </w:pPr>
      <w:r>
        <w:t xml:space="preserve">the bounding-box-only estimate;</w:t>
      </w:r>
    </w:p>
    <w:p>
      <w:pPr>
        <w:pStyle w:val="Compact"/>
        <w:numPr>
          <w:ilvl w:val="0"/>
          <w:numId w:val="1004"/>
        </w:numPr>
      </w:pPr>
      <w:r>
        <w:t xml:space="preserve">the proposed bidirectional proximity estimate; and</w:t>
      </w:r>
    </w:p>
    <w:p>
      <w:pPr>
        <w:pStyle w:val="Compact"/>
        <w:numPr>
          <w:ilvl w:val="0"/>
          <w:numId w:val="1004"/>
        </w:numPr>
      </w:pPr>
      <w:r>
        <w:t xml:space="preserve">an offline multi-resolution sweep used</w:t>
      </w:r>
      <w:r>
        <w:t xml:space="preserve"> </w:t>
      </w:r>
      <w:r>
        <w:rPr>
          <w:b/>
          <w:bCs/>
        </w:rPr>
        <w:t xml:space="preserve">only as an evaluation reference</w:t>
      </w:r>
      <w:r>
        <w:t xml:space="preserve">.</w:t>
      </w:r>
    </w:p>
    <w:bookmarkEnd w:id="40"/>
    <w:bookmarkStart w:id="41" w:name="metrics"/>
    <w:p>
      <w:pPr>
        <w:pStyle w:val="Heading2"/>
      </w:pPr>
      <w:r>
        <w:t xml:space="preserve">13.2 Metrics</w:t>
      </w:r>
    </w:p>
    <w:p>
      <w:pPr>
        <w:pStyle w:val="Compact"/>
        <w:numPr>
          <w:ilvl w:val="0"/>
          <w:numId w:val="1005"/>
        </w:numPr>
      </w:pPr>
      <w:r>
        <w:t xml:space="preserve">absolute and relative error from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estimator time and one-shot voxelisation time;</w:t>
      </w:r>
    </w:p>
    <w:p>
      <w:pPr>
        <w:pStyle w:val="Compact"/>
        <w:numPr>
          <w:ilvl w:val="0"/>
          <w:numId w:val="1005"/>
        </w:numPr>
      </w:pPr>
      <w:r>
        <w:t xml:space="preserve">occupied-cell memory;</w:t>
      </w:r>
    </w:p>
    <w:p>
      <w:pPr>
        <w:pStyle w:val="Compact"/>
        <w:numPr>
          <w:ilvl w:val="0"/>
          <w:numId w:val="1005"/>
        </w:numPr>
      </w:pPr>
      <w:r>
        <w:t xml:space="preserve">Jaccard similarity of interaction cells against a fine-grid reference;</w:t>
      </w:r>
    </w:p>
    <w:p>
      <w:pPr>
        <w:pStyle w:val="Compact"/>
        <w:numPr>
          <w:ilvl w:val="0"/>
          <w:numId w:val="1005"/>
        </w:numPr>
      </w:pPr>
      <w:r>
        <w:t xml:space="preserve">stability across random workspace samples and estimator seeds;</w:t>
      </w:r>
    </w:p>
    <w:p>
      <w:pPr>
        <w:pStyle w:val="Compact"/>
        <w:numPr>
          <w:ilvl w:val="0"/>
          <w:numId w:val="1005"/>
        </w:numPr>
      </w:pPr>
      <w:r>
        <w:t xml:space="preserve">stability under small robot-base calibration perturbations;</w:t>
      </w:r>
    </w:p>
    <w:p>
      <w:pPr>
        <w:pStyle w:val="Compact"/>
        <w:numPr>
          <w:ilvl w:val="0"/>
          <w:numId w:val="1005"/>
        </w:numPr>
      </w:pPr>
      <w:r>
        <w:t xml:space="preserve">number of candidates passing both robots’ final workspace checks;</w:t>
      </w:r>
    </w:p>
    <w:p>
      <w:pPr>
        <w:pStyle w:val="Compact"/>
        <w:numPr>
          <w:ilvl w:val="0"/>
          <w:numId w:val="1005"/>
        </w:numPr>
      </w:pPr>
      <w:r>
        <w:t xml:space="preserve">end-to-end handover planning success and motion success.</w:t>
      </w:r>
    </w:p>
    <w:p>
      <w:pPr>
        <w:pStyle w:val="FirstParagraph"/>
      </w:pPr>
      <w:r>
        <w:t xml:space="preserve">For two voxel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Jaccard similarity is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resolutions differ, compare physical cell volumes or resample both results</w:t>
      </w:r>
      <w:r>
        <w:t xml:space="preserve"> </w:t>
      </w:r>
      <w:r>
        <w:t xml:space="preserve">onto a common evaluation grid before computing</w:t>
      </w:r>
      <w:r>
        <w:t xml:space="preserve"> </w:t>
      </w:r>
      <m:oMath>
        <m:r>
          <m:t>J</m:t>
        </m:r>
      </m:oMath>
      <w:r>
        <w:t xml:space="preserve">.</w:t>
      </w:r>
    </w:p>
    <w:bookmarkEnd w:id="41"/>
    <w:bookmarkStart w:id="42" w:name="sensitivity-study"/>
    <w:p>
      <w:pPr>
        <w:pStyle w:val="Heading2"/>
      </w:pPr>
      <w:r>
        <w:t xml:space="preserve">13.3 Sensitivity study</w:t>
      </w:r>
    </w:p>
    <w:p>
      <w:pPr>
        <w:pStyle w:val="FirstParagraph"/>
      </w:pPr>
      <w:r>
        <w:t xml:space="preserve">Recommended factors are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0.50</m:t>
          </m:r>
          <m:r>
            <m:rPr>
              <m:sty m:val="p"/>
            </m:rPr>
            <m:t>,</m:t>
          </m:r>
          <m:r>
            <m:t>0.75</m:t>
          </m:r>
          <m:r>
            <m:rPr>
              <m:sty m:val="p"/>
            </m:rPr>
            <m:t>,</m:t>
          </m:r>
          <m:r>
            <m:t>0.90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κ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1.0</m:t>
          </m:r>
          <m:r>
            <m:rPr>
              <m:sty m:val="p"/>
            </m:rPr>
            <m:t>,</m:t>
          </m:r>
          <m:r>
            <m:t>1.25</m:t>
          </m:r>
          <m:r>
            <m:rPr>
              <m:sty m:val="p"/>
            </m:rPr>
            <m:t>,</m:t>
          </m:r>
          <m:r>
            <m:t>1.5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250</m:t>
          </m:r>
          <m:r>
            <m:rPr>
              <m:sty m:val="p"/>
            </m:rPr>
            <m:t>,</m:t>
          </m:r>
          <m:r>
            <m:t>500</m:t>
          </m:r>
          <m:r>
            <m:rPr>
              <m:sty m:val="p"/>
            </m:rPr>
            <m:t>,</m:t>
          </m:r>
          <m:r>
            <m:t>1000</m:t>
          </m:r>
          <m:r>
            <m:rPr>
              <m:sty m:val="p"/>
            </m:rPr>
            <m:t>,</m:t>
          </m:r>
          <m:r>
            <m:t>2000</m:t>
          </m:r>
          <m:r>
            <m:rPr>
              <m:sty m:val="p"/>
            </m:rPr>
            <m:t>,</m:t>
          </m:r>
          <m:r>
            <m:t>4000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Report not only the mean but also dispersion over repeated point-cloud</w:t>
      </w:r>
      <w:r>
        <w:t xml:space="preserve"> </w:t>
      </w:r>
      <w:r>
        <w:t xml:space="preserve">generation runs. This will expose whether the apparent precision of a single</w:t>
      </w:r>
      <w:r>
        <w:t xml:space="preserve"> </w:t>
      </w:r>
      <w:r>
        <w:t xml:space="preserve">voxel size is justified by the sampling process.</w:t>
      </w:r>
    </w:p>
    <w:bookmarkEnd w:id="42"/>
    <w:bookmarkEnd w:id="43"/>
    <w:bookmarkStart w:id="44" w:name="X600dc7e42f5d923dbfe3d194a39ee80a0f72e52"/>
    <w:p>
      <w:pPr>
        <w:pStyle w:val="Heading1"/>
      </w:pPr>
      <w:r>
        <w:t xml:space="preserve">14. Scientific context and boundaries of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in WoMAT</w:t>
            </w:r>
          </w:p>
        </w:tc>
        <w:tc>
          <w:tcPr/>
          <w:p>
            <w:pPr>
              <w:pStyle w:val="Compact"/>
            </w:pPr>
            <w:r>
              <w:t xml:space="preserve">Scientific support</w:t>
            </w:r>
          </w:p>
        </w:tc>
        <w:tc>
          <w:tcPr/>
          <w:p>
            <w:pPr>
              <w:pStyle w:val="Compact"/>
            </w:pPr>
            <w:r>
              <w:t xml:space="preserve">What is specific to WoMAT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Voxelized robot reachability</w:t>
            </w:r>
          </w:p>
        </w:tc>
        <w:tc>
          <w:tcPr/>
          <w:p>
            <w:pPr>
              <w:pStyle w:val="Compact"/>
            </w:pPr>
            <w:r>
              <w:t xml:space="preserve">Robot workspace/capability maps discretize reachable regions</w:t>
            </w:r>
            <w:r>
              <w:t xml:space="preserve"> </w:t>
            </w:r>
            <w:r>
              <w:t xml:space="preserve">(</w:t>
            </w:r>
            <w:hyperlink w:anchor="ref-Zacharias2007">
              <w:r>
                <w:rPr>
                  <w:rStyle w:val="Hyperlink"/>
                </w:rPr>
                <w:t xml:space="preserve">Zacharias, Borst, and Hirzinger 2007</w:t>
              </w:r>
            </w:hyperlink>
            <w:r>
              <w:t xml:space="preserve">;</w:t>
            </w:r>
            <w:r>
              <w:t xml:space="preserve"> </w:t>
            </w:r>
            <w:hyperlink w:anchor="ref-AndersonSprecher2012">
              <w:r>
                <w:rPr>
                  <w:rStyle w:val="Hyperlink"/>
                </w:rPr>
                <w:t xml:space="preserve">Anderson-Sprecher and Simmons 2012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Intersection is used to form a handover interaction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Nearest-neighbour spacing</w:t>
            </w:r>
          </w:p>
        </w:tc>
        <w:tc>
          <w:tcPr/>
          <w:p>
            <w:pPr>
              <w:pStyle w:val="Compact"/>
            </w:pPr>
            <w:r>
              <w:t xml:space="preserve">Nearest-neighbour radii support multivariate density estimation</w:t>
            </w:r>
            <w:r>
              <w:t xml:space="preserve"> </w:t>
            </w:r>
            <w:r>
              <w:t xml:space="preserve">(</w:t>
            </w:r>
            <w:hyperlink w:anchor="ref-Loftsgaarden1965">
              <w:r>
                <w:rPr>
                  <w:rStyle w:val="Hyperlink"/>
                </w:rPr>
                <w:t xml:space="preserve">Loftsgaarden and Quesenberry 1965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Maximum robust percentile becomes a resolution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 proximity queries</w:t>
            </w:r>
          </w:p>
        </w:tc>
        <w:tc>
          <w:tcPr/>
          <w:p>
            <w:pPr>
              <w:pStyle w:val="Compact"/>
            </w:pPr>
            <w:r>
              <w:t xml:space="preserve">KD-trees support multidimensional search</w:t>
            </w:r>
            <w:r>
              <w:t xml:space="preserve"> </w:t>
            </w:r>
            <w:r>
              <w:t xml:space="preserve">(</w:t>
            </w:r>
            <w:hyperlink w:anchor="ref-Bentley1975">
              <w:r>
                <w:rPr>
                  <w:rStyle w:val="Hyperlink"/>
                </w:rPr>
                <w:t xml:space="preserve">Bentley 1975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Deterministic subsampling and bidirectional conservative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Point-cloud processing</w:t>
            </w:r>
          </w:p>
        </w:tc>
        <w:tc>
          <w:tcPr/>
          <w:p>
            <w:pPr>
              <w:pStyle w:val="Compact"/>
            </w:pPr>
            <w:r>
              <w:t xml:space="preserve">PCL establishes practical 3-D point-cloud processing infrastructure</w:t>
            </w:r>
            <w:r>
              <w:t xml:space="preserve"> </w:t>
            </w:r>
            <w:r>
              <w:t xml:space="preserve">(</w:t>
            </w:r>
            <w:hyperlink w:anchor="ref-Rusu2011">
              <w:r>
                <w:rPr>
                  <w:rStyle w:val="Hyperlink"/>
                </w:rPr>
                <w:t xml:space="preserve">Rusu and Cousins 2011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Dependency-free JavaScript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Cube-root scaling</w:t>
            </w:r>
          </w:p>
        </w:tc>
        <w:tc>
          <w:tcPr/>
          <w:p>
            <w:pPr>
              <w:pStyle w:val="Compact"/>
            </w:pPr>
            <w:r>
              <w:t xml:space="preserve">Exact cubic cell volume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  <m:r>
                    <m:t>s</m:t>
                  </m:r>
                  <m:r>
                    <m:t>e</m:t>
                  </m:r>
                </m:sub>
              </m:sSub>
              <m:sSubSup>
                <m:e>
                  <m:r>
                    <m:t>d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  <m:sup>
                  <m:r>
                    <m:t>3</m:t>
                  </m:r>
                </m:sup>
              </m:sSubSup>
            </m:oMath>
            <w:r>
              <w:t xml:space="preserve"> </w:t>
            </w:r>
            <w:r>
              <w:t xml:space="preserve">and target-count inversion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Occupancy structures</w:t>
            </w:r>
          </w:p>
        </w:tc>
        <w:tc>
          <w:tcPr/>
          <w:p>
            <w:pPr>
              <w:pStyle w:val="Compact"/>
            </w:pPr>
            <w:r>
              <w:t xml:space="preserve">OctoMap demonstrates efficient 3-D voxel/octree mapping</w:t>
            </w:r>
            <w:r>
              <w:t xml:space="preserve"> </w:t>
            </w:r>
            <w:r>
              <w:t xml:space="preserve">(</w:t>
            </w:r>
            <w:hyperlink w:anchor="ref-Hornung2013">
              <w:r>
                <w:rPr>
                  <w:rStyle w:val="Hyperlink"/>
                </w:rPr>
                <w:t xml:space="preserve">Hornung et al. 2013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Single-resolution hash sets are chosen for exact set intersection</w:t>
            </w:r>
          </w:p>
        </w:tc>
      </w:tr>
    </w:tbl>
    <w:p>
      <w:pPr>
        <w:pStyle w:val="BodyText"/>
      </w:pPr>
      <w:r>
        <w:t xml:space="preserve">Thus, a defensible thesis statement is:</w:t>
      </w:r>
    </w:p>
    <w:p>
      <w:pPr>
        <w:pStyle w:val="BlockText"/>
      </w:pPr>
      <w:r>
        <w:t xml:space="preserve">The proposed voxel-size approximation is an engineering estimator derived</w:t>
      </w:r>
      <w:r>
        <w:t xml:space="preserve"> </w:t>
      </w:r>
      <w:r>
        <w:t xml:space="preserve">from dimensional voxel-volume scaling and a nearest-neighbour proxy for</w:t>
      </w:r>
      <w:r>
        <w:t xml:space="preserve"> </w:t>
      </w:r>
      <w:r>
        <w:t xml:space="preserve">overlap volume. Its constituent methods are established, while the combined</w:t>
      </w:r>
      <w:r>
        <w:t xml:space="preserve"> </w:t>
      </w:r>
      <w:r>
        <w:t xml:space="preserve">estimator and its parameterization require empirical validation for the</w:t>
      </w:r>
      <w:r>
        <w:t xml:space="preserve"> </w:t>
      </w:r>
      <w:r>
        <w:t xml:space="preserve">studied robot workspaces.</w:t>
      </w:r>
    </w:p>
    <w:bookmarkEnd w:id="44"/>
    <w:bookmarkStart w:id="45" w:name="implementation-mapping-and-reproduction"/>
    <w:p>
      <w:pPr>
        <w:pStyle w:val="Heading1"/>
      </w:pPr>
      <w:r>
        <w:t xml:space="preserve">15. Implementation mapping and reproduction</w:t>
      </w:r>
    </w:p>
    <w:p>
      <w:pPr>
        <w:pStyle w:val="FirstParagraph"/>
      </w:pPr>
      <w:r>
        <w:t xml:space="preserve">The estimator and Robot 1-owned controller are implemented in:</w:t>
      </w:r>
    </w:p>
    <w:p>
      <w:pPr>
        <w:pStyle w:val="SourceCode"/>
      </w:pPr>
      <w:r>
        <w:rPr>
          <w:rStyle w:val="VerbatimChar"/>
        </w:rPr>
        <w:t xml:space="preserve">src/generator/interactionSpace.js</w:t>
      </w:r>
    </w:p>
    <w:p>
      <w:pPr>
        <w:pStyle w:val="FirstParagraph"/>
      </w:pPr>
      <w:r>
        <w:t xml:space="preserve">Agent belief creation and local point selection are wired in:</w:t>
      </w:r>
    </w:p>
    <w:p>
      <w:pPr>
        <w:pStyle w:val="SourceCode"/>
      </w:pPr>
      <w:r>
        <w:rPr>
          <w:rStyle w:val="VerbatimChar"/>
        </w:rPr>
        <w:t xml:space="preserve">src/generator/agentThingServer.js</w:t>
      </w:r>
      <w:r>
        <w:br/>
      </w:r>
      <w:r>
        <w:rPr>
          <w:rStyle w:val="VerbatimChar"/>
        </w:rPr>
        <w:t xml:space="preserve">src/agt/handoverPlans.asl</w:t>
      </w:r>
    </w:p>
    <w:p>
      <w:pPr>
        <w:pStyle w:val="FirstParagraph"/>
      </w:pPr>
      <w:r>
        <w:t xml:space="preserve">The shared lower runtime stores only physical session identity and cube state:</w:t>
      </w:r>
    </w:p>
    <w:p>
      <w:pPr>
        <w:pStyle w:val="SourceCode"/>
      </w:pPr>
      <w:r>
        <w:rPr>
          <w:rStyle w:val="VerbatimChar"/>
        </w:rPr>
        <w:t xml:space="preserve">src/generator/lowerThingServer.js</w:t>
      </w:r>
    </w:p>
    <w:p>
      <w:pPr>
        <w:pStyle w:val="FirstParagraph"/>
      </w:pPr>
      <w:r>
        <w:t xml:space="preserve">The configuration is stored in:</w:t>
      </w:r>
    </w:p>
    <w:p>
      <w:pPr>
        <w:pStyle w:val="SourceCode"/>
      </w:pPr>
      <w:r>
        <w:rPr>
          <w:rStyle w:val="VerbatimChar"/>
        </w:rPr>
        <w:t xml:space="preserve">generated/robots/Robot1_Robot2.shared.json</w:t>
      </w:r>
    </w:p>
    <w:p>
      <w:pPr>
        <w:pStyle w:val="FirstParagraph"/>
      </w:pPr>
      <w:r>
        <w:t xml:space="preserve">Reproduce the current calculation without CoppeliaSim: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interaction:estimate</w:t>
      </w:r>
    </w:p>
    <w:p>
      <w:pPr>
        <w:pStyle w:val="FirstParagraph"/>
      </w:pPr>
      <w:r>
        <w:t xml:space="preserve">Run the automated tests: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Refresh the optional green CoppeliaSim visualization after estimation: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robot:pipeline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--manifests</w:t>
      </w:r>
      <w:r>
        <w:rPr>
          <w:rStyle w:val="NormalTok"/>
        </w:rPr>
        <w:t xml:space="preserve"> generated/robots/Robot1/manifest.json,generated/robots/Robot2/manifest.json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--update-shared-space-visual</w:t>
      </w:r>
    </w:p>
    <w:bookmarkEnd w:id="45"/>
    <w:bookmarkStart w:id="46" w:name="suggested-future-improvements"/>
    <w:p>
      <w:pPr>
        <w:pStyle w:val="Heading1"/>
      </w:pPr>
      <w:r>
        <w:t xml:space="preserve">16. Suggested future improvements</w:t>
      </w:r>
    </w:p>
    <w:p>
      <w:pPr>
        <w:pStyle w:val="Compact"/>
        <w:numPr>
          <w:ilvl w:val="0"/>
          <w:numId w:val="1006"/>
        </w:numPr>
      </w:pPr>
      <w:r>
        <w:t xml:space="preserve">Estimate local density with</w:t>
      </w:r>
      <w:r>
        <w:t xml:space="preserve"> </w:t>
      </w:r>
      <m:oMath>
        <m:r>
          <m:t>k</m:t>
        </m:r>
      </m:oMath>
      <w:r>
        <w:t xml:space="preserve">-nearest-neighbour radii rather than one global</w:t>
      </w:r>
      <w:r>
        <w:t xml:space="preserve"> </w:t>
      </w:r>
      <w:r>
        <w:t xml:space="preserve">spacing statistic.</w:t>
      </w:r>
    </w:p>
    <w:p>
      <w:pPr>
        <w:pStyle w:val="Compact"/>
        <w:numPr>
          <w:ilvl w:val="0"/>
          <w:numId w:val="1006"/>
        </w:numPr>
      </w:pPr>
      <w:r>
        <w:t xml:space="preserve">Model positional uncertainty by dilating occupied cells or using</w:t>
      </w:r>
      <w:r>
        <w:t xml:space="preserve"> </w:t>
      </w:r>
      <w:r>
        <w:t xml:space="preserve">probabilistic occupancy.</w:t>
      </w:r>
    </w:p>
    <w:p>
      <w:pPr>
        <w:pStyle w:val="Compact"/>
        <w:numPr>
          <w:ilvl w:val="0"/>
          <w:numId w:val="1006"/>
        </w:numPr>
      </w:pPr>
      <w:r>
        <w:t xml:space="preserve">Extend interaction beliefs from position to orientation-aware reachability.</w:t>
      </w:r>
    </w:p>
    <w:p>
      <w:pPr>
        <w:pStyle w:val="Compact"/>
        <w:numPr>
          <w:ilvl w:val="0"/>
          <w:numId w:val="1006"/>
        </w:numPr>
      </w:pPr>
      <w:r>
        <w:t xml:space="preserve">Validate or learn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handover outcomes.</w:t>
      </w:r>
    </w:p>
    <w:p>
      <w:pPr>
        <w:pStyle w:val="Compact"/>
        <w:numPr>
          <w:ilvl w:val="0"/>
          <w:numId w:val="1006"/>
        </w:numPr>
      </w:pPr>
      <w:r>
        <w:t xml:space="preserve">Record content hashes of workspace CSV inputs in estimator metadata.</w:t>
      </w:r>
    </w:p>
    <w:p>
      <w:pPr>
        <w:pStyle w:val="Compact"/>
        <w:numPr>
          <w:ilvl w:val="0"/>
          <w:numId w:val="1006"/>
        </w:numPr>
      </w:pPr>
      <w:r>
        <w:t xml:space="preserve">Quantify boundary aliasing by repeating only the evaluation with shifted grid</w:t>
      </w:r>
      <w:r>
        <w:t xml:space="preserve"> </w:t>
      </w:r>
      <w:r>
        <w:t xml:space="preserve">origins; keep one canonical origin in production.</w:t>
      </w:r>
    </w:p>
    <w:p>
      <w:pPr>
        <w:pStyle w:val="Compact"/>
        <w:numPr>
          <w:ilvl w:val="0"/>
          <w:numId w:val="1006"/>
        </w:numPr>
      </w:pPr>
      <w:r>
        <w:t xml:space="preserve">Compare conservative, optimistic, and probability-weighted definitions of</w:t>
      </w:r>
      <w:r>
        <w:t xml:space="preserve"> </w:t>
      </w:r>
      <w:r>
        <w:t xml:space="preserve">shared occupancy.</w:t>
      </w:r>
    </w:p>
    <w:bookmarkEnd w:id="46"/>
    <w:bookmarkStart w:id="62" w:name="bibliography"/>
    <w:p>
      <w:pPr>
        <w:pStyle w:val="Heading1"/>
      </w:pPr>
      <w:r>
        <w:t xml:space="preserve">References</w:t>
      </w:r>
    </w:p>
    <w:bookmarkStart w:id="61" w:name="refs"/>
    <w:bookmarkStart w:id="48" w:name="ref-AndersonSprecher2012"/>
    <w:p>
      <w:pPr>
        <w:pStyle w:val="Bibliography"/>
      </w:pPr>
      <w:r>
        <w:t xml:space="preserve">Anderson-Sprecher, Peter, and Reid Simmons. 2012.</w:t>
      </w:r>
      <w:r>
        <w:t xml:space="preserve"> </w:t>
      </w:r>
      <w:r>
        <w:t xml:space="preserve">“Voxel-Based Motion Bounding and Workspace Estimation for Robotic Manipulators.”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2012 IEEE International Conference on Robotics and Automation</w:t>
      </w:r>
      <w:r>
        <w:t xml:space="preserve">, 2141–46.</w:t>
      </w:r>
      <w:r>
        <w:t xml:space="preserve"> </w:t>
      </w:r>
      <w:hyperlink r:id="rId47">
        <w:r>
          <w:rPr>
            <w:rStyle w:val="Hyperlink"/>
          </w:rPr>
          <w:t xml:space="preserve">https://doi.org/10.1109/ICRA.2012.6225256</w:t>
        </w:r>
      </w:hyperlink>
      <w:r>
        <w:t xml:space="preserve">.</w:t>
      </w:r>
    </w:p>
    <w:bookmarkEnd w:id="48"/>
    <w:bookmarkStart w:id="50" w:name="ref-Bentley1975"/>
    <w:p>
      <w:pPr>
        <w:pStyle w:val="Bibliography"/>
      </w:pPr>
      <w:r>
        <w:t xml:space="preserve">Bentley, Jon Louis. 1975.</w:t>
      </w:r>
      <w:r>
        <w:t xml:space="preserve"> </w:t>
      </w:r>
      <w:r>
        <w:t xml:space="preserve">“Multidimensional Binary Search Trees Used for Associative Searching.”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 </w:t>
      </w:r>
      <w:r>
        <w:t xml:space="preserve">18 (9): 509–17.</w:t>
      </w:r>
      <w:r>
        <w:t xml:space="preserve"> </w:t>
      </w:r>
      <w:hyperlink r:id="rId49">
        <w:r>
          <w:rPr>
            <w:rStyle w:val="Hyperlink"/>
          </w:rPr>
          <w:t xml:space="preserve">https://doi.org/10.1145/361002.361007</w:t>
        </w:r>
      </w:hyperlink>
      <w:r>
        <w:t xml:space="preserve">.</w:t>
      </w:r>
    </w:p>
    <w:bookmarkEnd w:id="50"/>
    <w:bookmarkStart w:id="52" w:name="ref-Hornung2013"/>
    <w:p>
      <w:pPr>
        <w:pStyle w:val="Bibliography"/>
      </w:pPr>
      <w:r>
        <w:t xml:space="preserve">Hornung, Armin, Kai M. Wurm, Maren Bennewitz, Cyrill Stachniss, and Wolfram Burgard. 2013.</w:t>
      </w:r>
      <w:r>
        <w:t xml:space="preserve"> </w:t>
      </w:r>
      <w:r>
        <w:t xml:space="preserve">“OctoMap: An Efficient Probabilistic 3D Mapping Framework Based on Octrees.”</w:t>
      </w:r>
      <w:r>
        <w:t xml:space="preserve"> </w:t>
      </w:r>
      <w:r>
        <w:rPr>
          <w:i/>
          <w:iCs/>
        </w:rPr>
        <w:t xml:space="preserve">Autonomous Robots</w:t>
      </w:r>
      <w:r>
        <w:t xml:space="preserve"> </w:t>
      </w:r>
      <w:r>
        <w:t xml:space="preserve">34 (3): 189–206.</w:t>
      </w:r>
      <w:r>
        <w:t xml:space="preserve"> </w:t>
      </w:r>
      <w:hyperlink r:id="rId51">
        <w:r>
          <w:rPr>
            <w:rStyle w:val="Hyperlink"/>
          </w:rPr>
          <w:t xml:space="preserve">https://doi.org/10.1007/s10514-012-9321-0</w:t>
        </w:r>
      </w:hyperlink>
      <w:r>
        <w:t xml:space="preserve">.</w:t>
      </w:r>
    </w:p>
    <w:bookmarkEnd w:id="52"/>
    <w:bookmarkStart w:id="54" w:name="ref-Loftsgaarden1965"/>
    <w:p>
      <w:pPr>
        <w:pStyle w:val="Bibliography"/>
      </w:pPr>
      <w:r>
        <w:t xml:space="preserve">Loftsgaarden, D. O., and C. P. Quesenberry. 1965.</w:t>
      </w:r>
      <w:r>
        <w:t xml:space="preserve"> </w:t>
      </w:r>
      <w:r>
        <w:t xml:space="preserve">“A Nonparametric Estimate of a Multivariate Density Function.”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36 (3): 1049–51.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https://doi.org/10.1214/aoms/1177700079</w:t>
        </w:r>
      </w:hyperlink>
      <w:r>
        <w:t xml:space="preserve">.</w:t>
      </w:r>
    </w:p>
    <w:bookmarkEnd w:id="54"/>
    <w:bookmarkStart w:id="56" w:name="ref-Pauly2002"/>
    <w:p>
      <w:pPr>
        <w:pStyle w:val="Bibliography"/>
      </w:pPr>
      <w:r>
        <w:t xml:space="preserve">Pauly, Mark, Markus Gross, and Leif P. Kobbelt. 2002.</w:t>
      </w:r>
      <w:r>
        <w:t xml:space="preserve"> </w:t>
      </w:r>
      <w:r>
        <w:t xml:space="preserve">“Efficient Simplification of Point-Sampled Surfaces.”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Visualization 2002</w:t>
      </w:r>
      <w:r>
        <w:t xml:space="preserve">, 163–70.</w:t>
      </w:r>
      <w:r>
        <w:t xml:space="preserve"> </w:t>
      </w:r>
      <w:hyperlink r:id="rId55">
        <w:r>
          <w:rPr>
            <w:rStyle w:val="Hyperlink"/>
          </w:rPr>
          <w:t xml:space="preserve">https://doi.org/10.1109/VISUAL.2002.1183771</w:t>
        </w:r>
      </w:hyperlink>
      <w:r>
        <w:t xml:space="preserve">.</w:t>
      </w:r>
    </w:p>
    <w:bookmarkEnd w:id="56"/>
    <w:bookmarkStart w:id="58" w:name="ref-Rusu2011"/>
    <w:p>
      <w:pPr>
        <w:pStyle w:val="Bibliography"/>
      </w:pPr>
      <w:r>
        <w:t xml:space="preserve">Rusu, Radu Bogdan, and Steve Cousins. 2011.</w:t>
      </w:r>
      <w:r>
        <w:t xml:space="preserve"> </w:t>
      </w:r>
      <w:r>
        <w:t xml:space="preserve">“3D Is Here: Point Cloud Library (PCL).”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2011 IEEE International Conference on Robotics and Automation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https://doi.org/10.1109/ICRA.2011.5980567</w:t>
        </w:r>
      </w:hyperlink>
      <w:r>
        <w:t xml:space="preserve">.</w:t>
      </w:r>
    </w:p>
    <w:bookmarkEnd w:id="58"/>
    <w:bookmarkStart w:id="60" w:name="ref-Zacharias2007"/>
    <w:p>
      <w:pPr>
        <w:pStyle w:val="Bibliography"/>
      </w:pPr>
      <w:r>
        <w:t xml:space="preserve">Zacharias, Franziska, Christoph Borst, and Gerd Hirzinger. 2007.</w:t>
      </w:r>
      <w:r>
        <w:t xml:space="preserve"> </w:t>
      </w:r>
      <w:r>
        <w:t xml:space="preserve">“Capturing Robot Workspace Structure: Representing Robot Capabilities.”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2007 IEEE/RSJ International Conference on Intelligent Robots and Systems</w:t>
      </w:r>
      <w:r>
        <w:t xml:space="preserve">, 3229–36.</w:t>
      </w:r>
      <w:r>
        <w:t xml:space="preserve"> </w:t>
      </w:r>
      <w:hyperlink r:id="rId59">
        <w:r>
          <w:rPr>
            <w:rStyle w:val="Hyperlink"/>
          </w:rPr>
          <w:t xml:space="preserve">https://doi.org/10.1109/IROS.2007.4399105</w:t>
        </w:r>
      </w:hyperlink>
      <w:r>
        <w:t xml:space="preserve">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doi.org/10.1007/s10514-012-9321-0" TargetMode="External" /><Relationship Type="http://schemas.openxmlformats.org/officeDocument/2006/relationships/hyperlink" Id="rId57" Target="https://doi.org/10.1109/ICRA.2011.5980567" TargetMode="External" /><Relationship Type="http://schemas.openxmlformats.org/officeDocument/2006/relationships/hyperlink" Id="rId47" Target="https://doi.org/10.1109/ICRA.2012.6225256" TargetMode="External" /><Relationship Type="http://schemas.openxmlformats.org/officeDocument/2006/relationships/hyperlink" Id="rId59" Target="https://doi.org/10.1109/IROS.2007.4399105" TargetMode="External" /><Relationship Type="http://schemas.openxmlformats.org/officeDocument/2006/relationships/hyperlink" Id="rId55" Target="https://doi.org/10.1109/VISUAL.2002.1183771" TargetMode="External" /><Relationship Type="http://schemas.openxmlformats.org/officeDocument/2006/relationships/hyperlink" Id="rId49" Target="https://doi.org/10.1145/361002.361007" TargetMode="External" /><Relationship Type="http://schemas.openxmlformats.org/officeDocument/2006/relationships/hyperlink" Id="rId53" Target="https://doi.org/10.1214/aoms/11777000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07/s10514-012-9321-0" TargetMode="External" /><Relationship Type="http://schemas.openxmlformats.org/officeDocument/2006/relationships/hyperlink" Id="rId57" Target="https://doi.org/10.1109/ICRA.2011.5980567" TargetMode="External" /><Relationship Type="http://schemas.openxmlformats.org/officeDocument/2006/relationships/hyperlink" Id="rId47" Target="https://doi.org/10.1109/ICRA.2012.6225256" TargetMode="External" /><Relationship Type="http://schemas.openxmlformats.org/officeDocument/2006/relationships/hyperlink" Id="rId59" Target="https://doi.org/10.1109/IROS.2007.4399105" TargetMode="External" /><Relationship Type="http://schemas.openxmlformats.org/officeDocument/2006/relationships/hyperlink" Id="rId55" Target="https://doi.org/10.1109/VISUAL.2002.1183771" TargetMode="External" /><Relationship Type="http://schemas.openxmlformats.org/officeDocument/2006/relationships/hyperlink" Id="rId49" Target="https://doi.org/10.1145/361002.361007" TargetMode="External" /><Relationship Type="http://schemas.openxmlformats.org/officeDocument/2006/relationships/hyperlink" Id="rId53" Target="https://doi.org/10.1214/aoms/11777000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 Voxel-Grid Size Approximation for Intersecting Robot Workspaces</dc:title>
  <dc:creator>WoMAT / Master’s Thesis Technical Note</dc:creator>
  <cp:keywords/>
  <dcterms:created xsi:type="dcterms:W3CDTF">2026-08-17T13:26:45Z</dcterms:created>
  <dcterms:modified xsi:type="dcterms:W3CDTF">2026-08-17T13:26:45Z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voxel_grid_size_approximation.bib</vt:lpwstr>
  </property>
  <property fmtid="{D5CDD505-2E9C-101B-9397-08002B2CF9AE}" pid="3" name="date">
    <vt:lpwstr>17 August 2026</vt:lpwstr>
  </property>
  <property fmtid="{D5CDD505-2E9C-101B-9397-08002B2CF9AE}" pid="4" name="link-citations">
    <vt:lpwstr>True</vt:lpwstr>
  </property>
  <property fmtid="{D5CDD505-2E9C-101B-9397-08002B2CF9AE}" pid="5" name="reference-section-title">
    <vt:lpwstr>References</vt:lpwstr>
  </property>
  <property fmtid="{D5CDD505-2E9C-101B-9397-08002B2CF9AE}" pid="6" name="subtitle">
    <vt:lpwstr>Method, Formula Derivation, Implementation, and Scientific Context</vt:lpwstr>
  </property>
</Properties>
</file>