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Approximating the Center of a Robot Interaction Region</w:t>
      </w:r>
    </w:p>
    <w:p>
      <w:pPr>
        <w:pStyle w:val="Subtitle"/>
      </w:pPr>
      <w:r>
        <w:t xml:space="preserve">Voxel intersection, bounded central core, and BDI candidate ranking</w:t>
      </w:r>
    </w:p>
    <w:p>
      <w:pPr>
        <w:pStyle w:val="Author"/>
      </w:pPr>
      <w:r>
        <w:t xml:space="preserve">WoMAT project documentation</w:t>
      </w:r>
    </w:p>
    <w:p>
      <w:pPr>
        <w:pStyle w:val="Date"/>
      </w:pPr>
      <w:r>
        <w:t xml:space="preserve">18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urpose"/>
    <w:p>
      <w:pPr>
        <w:pStyle w:val="Heading1"/>
      </w:pPr>
      <w:r>
        <w:rPr>
          <w:rStyle w:val="SectionNumber"/>
        </w:rPr>
        <w:t xml:space="preserve">1</w:t>
      </w:r>
      <w:r>
        <w:tab/>
      </w:r>
      <w:r>
        <w:t xml:space="preserve">Purpose</w:t>
      </w:r>
    </w:p>
    <w:p>
      <w:pPr>
        <w:pStyle w:val="FirstParagraph"/>
      </w:pPr>
      <w:r>
        <w:t xml:space="preserve">For a handover between two robots, a point must be reachable by both robots and should not lie close to the edge of either workspace. The implementation therefore does not choose a random point from the raw overlap. It constructs a discrete approximation of the shared workspace, bounds that set to a central core, calculates several quality features for each candidate, and lets the BDI agent select the candidate with the greatest score.</w:t>
      </w:r>
    </w:p>
    <w:p>
      <w:pPr>
        <w:pStyle w:val="BodyText"/>
      </w:pPr>
      <w:r>
        <w:t xml:space="preserve">This document describes the implemented method in mathematical form. The geometric component calculates candidates and evidence; the Jason BDI agent performs the final weighted evaluation and adopts the selected handover intention.</w:t>
      </w:r>
    </w:p>
    <w:bookmarkEnd w:id="20"/>
    <w:bookmarkStart w:id="21" w:name="notation"/>
    <w:p>
      <w:pPr>
        <w:pStyle w:val="Heading1"/>
      </w:pPr>
      <w:r>
        <w:rPr>
          <w:rStyle w:val="SectionNumber"/>
        </w:rPr>
        <w:t xml:space="preserve">2</w:t>
      </w:r>
      <w:r>
        <w:tab/>
      </w:r>
      <w:r>
        <w:t xml:space="preserve">Notation</w:t>
      </w:r>
    </w:p>
    <w:p>
      <w:pPr>
        <w:pStyle w:val="FirstParagraph"/>
      </w:pPr>
      <w:r>
        <w:t xml:space="preserve">Let robots</w:t>
      </w:r>
      <w:r>
        <w:t xml:space="preserve"> </w:t>
      </w:r>
      <m:oMath>
        <m:r>
          <m:t>A</m:t>
        </m:r>
      </m:oMath>
      <w:r>
        <w:t xml:space="preserve"> </w:t>
      </w:r>
      <w:r>
        <w:t xml:space="preserve">and</w:t>
      </w:r>
      <w:r>
        <w:t xml:space="preserve"> </w:t>
      </w:r>
      <m:oMath>
        <m:r>
          <m:t>B</m:t>
        </m:r>
      </m:oMath>
      <w:r>
        <w:t xml:space="preserve"> </w:t>
      </w:r>
      <w:r>
        <w:t xml:space="preserve">have sampled reachable TCP workspaces</w:t>
      </w:r>
    </w:p>
    <w:p>
      <w:pPr>
        <w:pStyle w:val="BodyText"/>
      </w:pPr>
      <m:oMathPara>
        <m:oMathParaPr>
          <m:jc m:val="center"/>
        </m:oMathParaPr>
        <m:oMath>
          <m:sSubSup>
            <m:e>
              <m:r>
                <m:t>W</m:t>
              </m:r>
            </m:e>
            <m:sub>
              <m:r>
                <m:t>A</m:t>
              </m:r>
            </m:sub>
            <m:sup>
              <m:r>
                <m:t>L</m:t>
              </m:r>
            </m:sup>
          </m:sSubSup>
          <m:r>
            <m:rPr>
              <m:sty m:val="p"/>
            </m:rPr>
            <m:t>=</m:t>
          </m:r>
          <m:r>
            <m:rPr>
              <m:sty m:val="p"/>
            </m:rPr>
            <m:t>{</m:t>
          </m:r>
          <m:sSubSup>
            <m:e>
              <m:r>
                <m:rPr>
                  <m:sty m:val="b"/>
                </m:rPr>
                <m:t>p</m:t>
              </m:r>
            </m:e>
            <m:sub>
              <m:r>
                <m:t>A</m:t>
              </m:r>
              <m:r>
                <m:rPr>
                  <m:sty m:val="p"/>
                </m:rPr>
                <m:t>,</m:t>
              </m:r>
              <m:r>
                <m:t>1</m:t>
              </m:r>
            </m:sub>
            <m:sup>
              <m:r>
                <m:t>L</m:t>
              </m:r>
            </m:sup>
          </m:sSubSup>
          <m:r>
            <m:rPr>
              <m:sty m:val="p"/>
            </m:rPr>
            <m:t>,</m:t>
          </m:r>
          <m:r>
            <m:rPr>
              <m:sty m:val="p"/>
            </m:rPr>
            <m:t>…</m:t>
          </m:r>
          <m:r>
            <m:rPr>
              <m:sty m:val="p"/>
            </m:rPr>
            <m:t>,</m:t>
          </m:r>
          <m:sSubSup>
            <m:e>
              <m:r>
                <m:rPr>
                  <m:sty m:val="b"/>
                </m:rPr>
                <m:t>p</m:t>
              </m:r>
            </m:e>
            <m:sub>
              <m:r>
                <m:t>A</m:t>
              </m:r>
              <m:r>
                <m:rPr>
                  <m:sty m:val="p"/>
                </m:rPr>
                <m:t>,</m:t>
              </m:r>
              <m:sSub>
                <m:e>
                  <m:r>
                    <m:t>n</m:t>
                  </m:r>
                </m:e>
                <m:sub>
                  <m:r>
                    <m:t>A</m:t>
                  </m:r>
                </m:sub>
              </m:sSub>
            </m:sub>
            <m:sup>
              <m:r>
                <m:t>L</m:t>
              </m:r>
            </m:sup>
          </m:sSubSup>
          <m:r>
            <m:rPr>
              <m:sty m:val="p"/>
            </m:rPr>
            <m:t>}</m:t>
          </m:r>
          <m:r>
            <m:rPr>
              <m:sty m:val="p"/>
            </m:rPr>
            <m:t>,</m:t>
          </m:r>
          <m:r>
            <m:t>  </m:t>
          </m:r>
          <m:sSubSup>
            <m:e>
              <m:r>
                <m:t>W</m:t>
              </m:r>
            </m:e>
            <m:sub>
              <m:r>
                <m:t>B</m:t>
              </m:r>
            </m:sub>
            <m:sup>
              <m:r>
                <m:t>L</m:t>
              </m:r>
            </m:sup>
          </m:sSubSup>
          <m:r>
            <m:rPr>
              <m:sty m:val="p"/>
            </m:rPr>
            <m:t>=</m:t>
          </m:r>
          <m:r>
            <m:rPr>
              <m:sty m:val="p"/>
            </m:rPr>
            <m:t>{</m:t>
          </m:r>
          <m:sSubSup>
            <m:e>
              <m:r>
                <m:rPr>
                  <m:sty m:val="b"/>
                </m:rPr>
                <m:t>p</m:t>
              </m:r>
            </m:e>
            <m:sub>
              <m:r>
                <m:t>B</m:t>
              </m:r>
              <m:r>
                <m:rPr>
                  <m:sty m:val="p"/>
                </m:rPr>
                <m:t>,</m:t>
              </m:r>
              <m:r>
                <m:t>1</m:t>
              </m:r>
            </m:sub>
            <m:sup>
              <m:r>
                <m:t>L</m:t>
              </m:r>
            </m:sup>
          </m:sSubSup>
          <m:r>
            <m:rPr>
              <m:sty m:val="p"/>
            </m:rPr>
            <m:t>,</m:t>
          </m:r>
          <m:r>
            <m:rPr>
              <m:sty m:val="p"/>
            </m:rPr>
            <m:t>…</m:t>
          </m:r>
          <m:r>
            <m:rPr>
              <m:sty m:val="p"/>
            </m:rPr>
            <m:t>,</m:t>
          </m:r>
          <m:sSubSup>
            <m:e>
              <m:r>
                <m:rPr>
                  <m:sty m:val="b"/>
                </m:rPr>
                <m:t>p</m:t>
              </m:r>
            </m:e>
            <m:sub>
              <m:r>
                <m:t>B</m:t>
              </m:r>
              <m:r>
                <m:rPr>
                  <m:sty m:val="p"/>
                </m:rPr>
                <m:t>,</m:t>
              </m:r>
              <m:sSub>
                <m:e>
                  <m:r>
                    <m:t>n</m:t>
                  </m:r>
                </m:e>
                <m:sub>
                  <m:r>
                    <m:t>B</m:t>
                  </m:r>
                </m:sub>
              </m:sSub>
            </m:sub>
            <m:sup>
              <m:r>
                <m:t>L</m:t>
              </m:r>
            </m:sup>
          </m:sSubSup>
          <m:r>
            <m:rPr>
              <m:sty m:val="p"/>
            </m:rPr>
            <m:t>}</m:t>
          </m:r>
          <m:r>
            <m:rPr>
              <m:sty m:val="p"/>
            </m:rPr>
            <m:t>.</m:t>
          </m:r>
        </m:oMath>
      </m:oMathPara>
    </w:p>
    <w:p>
      <w:pPr>
        <w:pStyle w:val="FirstParagraph"/>
      </w:pPr>
      <w:r>
        <w:t xml:space="preserve">The superscript</w:t>
      </w:r>
      <w:r>
        <w:t xml:space="preserve"> </w:t>
      </w:r>
      <m:oMath>
        <m:r>
          <m:t>L</m:t>
        </m:r>
      </m:oMath>
      <w:r>
        <w:t xml:space="preserve"> </w:t>
      </w:r>
      <w:r>
        <w:t xml:space="preserve">denotes a robot-local coordinate frame. World-frame quantities use the superscript</w:t>
      </w:r>
      <w:r>
        <w:t xml:space="preserve"> </w:t>
      </w:r>
      <m:oMath>
        <m:r>
          <m:t>W</m:t>
        </m:r>
      </m:oMath>
      <w:r>
        <w:t xml:space="preserve">. A point is written as</w:t>
      </w:r>
    </w:p>
    <w:p>
      <w:pPr>
        <w:pStyle w:val="BodyText"/>
      </w:pPr>
      <m:oMathPara>
        <m:oMathParaPr>
          <m:jc m:val="center"/>
        </m:oMathParaPr>
        <m:oMath>
          <m:r>
            <m:rPr>
              <m:sty m:val="b"/>
            </m:rPr>
            <m:t>p</m:t>
          </m:r>
          <m:r>
            <m:rPr>
              <m:sty m:val="p"/>
            </m:rPr>
            <m:t>=</m:t>
          </m:r>
          <m:sSup>
            <m:e>
              <m:d>
                <m:dPr>
                  <m:begChr m:val="("/>
                  <m:sepChr m:val=""/>
                  <m:endChr m:val=")"/>
                  <m:grow/>
                </m:dPr>
                <m:e>
                  <m:r>
                    <m:t>x</m:t>
                  </m:r>
                  <m:r>
                    <m:rPr>
                      <m:sty m:val="p"/>
                    </m:rPr>
                    <m:t>,</m:t>
                  </m:r>
                  <m:r>
                    <m:t>y</m:t>
                  </m:r>
                  <m:r>
                    <m:rPr>
                      <m:sty m:val="p"/>
                    </m:rPr>
                    <m:t>,</m:t>
                  </m:r>
                  <m:r>
                    <m:t>z</m:t>
                  </m:r>
                </m:e>
              </m:d>
            </m:e>
            <m:sup>
              <m:r>
                <m:t>T</m:t>
              </m:r>
            </m:sup>
          </m:sSup>
          <m:r>
            <m:rPr>
              <m:sty m:val="p"/>
            </m:rPr>
            <m:t>.</m:t>
          </m:r>
        </m:oMath>
      </m:oMathPara>
    </w:p>
    <w:p>
      <w:pPr>
        <w:pStyle w:val="FirstParagraph"/>
      </w:pPr>
      <w:r>
        <w:t xml:space="preserve">The implementation uses CoppeliaSim’s Euler composition order. For robot</w:t>
      </w:r>
      <w:r>
        <w:t xml:space="preserve"> </w:t>
      </w:r>
      <m:oMath>
        <m:r>
          <m:t>r</m:t>
        </m:r>
      </m:oMath>
      <w:r>
        <w:t xml:space="preserve"> </w:t>
      </w:r>
      <w:r>
        <w:t xml:space="preserve">with translation</w:t>
      </w:r>
      <w:r>
        <w:t xml:space="preserve"> </w:t>
      </w:r>
      <m:oMath>
        <m:sSub>
          <m:e>
            <m:r>
              <m:rPr>
                <m:sty m:val="b"/>
              </m:rPr>
              <m:t>t</m:t>
            </m:r>
          </m:e>
          <m:sub>
            <m:r>
              <m:t>r</m:t>
            </m:r>
          </m:sub>
        </m:sSub>
      </m:oMath>
      <w:r>
        <w:t xml:space="preserve"> </w:t>
      </w:r>
      <w:r>
        <w:t xml:space="preserve">and roll, pitch, and yaw</w:t>
      </w:r>
      <w:r>
        <w:t xml:space="preserve"> </w:t>
      </w:r>
      <m:oMath>
        <m:d>
          <m:dPr>
            <m:begChr m:val="("/>
            <m:sepChr m:val=""/>
            <m:endChr m:val=")"/>
            <m:grow/>
          </m:dPr>
          <m:e>
            <m:sSub>
              <m:e>
                <m:r>
                  <m:t>α</m:t>
                </m:r>
              </m:e>
              <m:sub>
                <m:r>
                  <m:t>r</m:t>
                </m:r>
              </m:sub>
            </m:sSub>
            <m:r>
              <m:rPr>
                <m:sty m:val="p"/>
              </m:rPr>
              <m:t>,</m:t>
            </m:r>
            <m:sSub>
              <m:e>
                <m:r>
                  <m:t>β</m:t>
                </m:r>
              </m:e>
              <m:sub>
                <m:r>
                  <m:t>r</m:t>
                </m:r>
              </m:sub>
            </m:sSub>
            <m:r>
              <m:rPr>
                <m:sty m:val="p"/>
              </m:rPr>
              <m:t>,</m:t>
            </m:r>
            <m:sSub>
              <m:e>
                <m:r>
                  <m:t>γ</m:t>
                </m:r>
              </m:e>
              <m:sub>
                <m:r>
                  <m:t>r</m:t>
                </m:r>
              </m:sub>
            </m:sSub>
          </m:e>
        </m:d>
      </m:oMath>
      <w:r>
        <w:t xml:space="preserve">,</w:t>
      </w:r>
    </w:p>
    <w:p>
      <w:pPr>
        <w:pStyle w:val="BodyText"/>
      </w:pPr>
      <m:oMathPara>
        <m:oMathParaPr>
          <m:jc m:val="center"/>
        </m:oMathParaPr>
        <m:oMath>
          <m:sSub>
            <m:e>
              <m:r>
                <m:t>R</m:t>
              </m:r>
            </m:e>
            <m:sub>
              <m:r>
                <m:t>r</m:t>
              </m:r>
            </m:sub>
          </m:sSub>
          <m:r>
            <m:rPr>
              <m:sty m:val="p"/>
            </m:rPr>
            <m:t>=</m:t>
          </m:r>
          <m:sSub>
            <m:e>
              <m:r>
                <m:t>R</m:t>
              </m:r>
            </m:e>
            <m:sub>
              <m:r>
                <m:t>x</m:t>
              </m:r>
            </m:sub>
          </m:sSub>
          <m:d>
            <m:dPr>
              <m:begChr m:val="("/>
              <m:sepChr m:val=""/>
              <m:endChr m:val=")"/>
              <m:grow/>
            </m:dPr>
            <m:e>
              <m:sSub>
                <m:e>
                  <m:r>
                    <m:t>α</m:t>
                  </m:r>
                </m:e>
                <m:sub>
                  <m:r>
                    <m:t>r</m:t>
                  </m:r>
                </m:sub>
              </m:sSub>
            </m:e>
          </m:d>
          <m:sSub>
            <m:e>
              <m:r>
                <m:t>R</m:t>
              </m:r>
            </m:e>
            <m:sub>
              <m:r>
                <m:t>y</m:t>
              </m:r>
            </m:sub>
          </m:sSub>
          <m:d>
            <m:dPr>
              <m:begChr m:val="("/>
              <m:sepChr m:val=""/>
              <m:endChr m:val=")"/>
              <m:grow/>
            </m:dPr>
            <m:e>
              <m:sSub>
                <m:e>
                  <m:r>
                    <m:t>β</m:t>
                  </m:r>
                </m:e>
                <m:sub>
                  <m:r>
                    <m:t>r</m:t>
                  </m:r>
                </m:sub>
              </m:sSub>
            </m:e>
          </m:d>
          <m:sSub>
            <m:e>
              <m:r>
                <m:t>R</m:t>
              </m:r>
            </m:e>
            <m:sub>
              <m:r>
                <m:t>z</m:t>
              </m:r>
            </m:sub>
          </m:sSub>
          <m:d>
            <m:dPr>
              <m:begChr m:val="("/>
              <m:sepChr m:val=""/>
              <m:endChr m:val=")"/>
              <m:grow/>
            </m:dPr>
            <m:e>
              <m:sSub>
                <m:e>
                  <m:r>
                    <m:t>γ</m:t>
                  </m:r>
                </m:e>
                <m:sub>
                  <m:r>
                    <m:t>r</m:t>
                  </m:r>
                </m:sub>
              </m:sSub>
            </m:e>
          </m:d>
          <m:r>
            <m:rPr>
              <m:sty m:val="p"/>
            </m:rPr>
            <m:t>.</m:t>
          </m:r>
        </m:oMath>
      </m:oMathPara>
    </w:p>
    <w:p>
      <w:pPr>
        <w:pStyle w:val="FirstParagraph"/>
      </w:pPr>
      <w:r>
        <w:t xml:space="preserve">Local samples are transformed into the shared world frame by</w:t>
      </w:r>
    </w:p>
    <w:p>
      <w:pPr>
        <w:pStyle w:val="BodyText"/>
      </w:pPr>
      <m:oMathPara>
        <m:oMathParaPr>
          <m:jc m:val="center"/>
        </m:oMathParaPr>
        <m:oMath>
          <m:sSubSup>
            <m:e>
              <m:r>
                <m:rPr>
                  <m:sty m:val="b"/>
                </m:rPr>
                <m:t>p</m:t>
              </m:r>
            </m:e>
            <m:sub>
              <m:r>
                <m:t>r</m:t>
              </m:r>
            </m:sub>
            <m:sup>
              <m:r>
                <m:t>W</m:t>
              </m:r>
            </m:sup>
          </m:sSubSup>
          <m:r>
            <m:rPr>
              <m:sty m:val="p"/>
            </m:rPr>
            <m:t>=</m:t>
          </m:r>
          <m:sSub>
            <m:e>
              <m:r>
                <m:rPr>
                  <m:sty m:val="b"/>
                </m:rPr>
                <m:t>t</m:t>
              </m:r>
            </m:e>
            <m:sub>
              <m:r>
                <m:t>r</m:t>
              </m:r>
            </m:sub>
          </m:sSub>
          <m:r>
            <m:rPr>
              <m:sty m:val="p"/>
            </m:rPr>
            <m:t>+</m:t>
          </m:r>
          <m:sSub>
            <m:e>
              <m:r>
                <m:t>R</m:t>
              </m:r>
            </m:e>
            <m:sub>
              <m:r>
                <m:t>r</m:t>
              </m:r>
            </m:sub>
          </m:sSub>
          <m:sSubSup>
            <m:e>
              <m:r>
                <m:rPr>
                  <m:sty m:val="b"/>
                </m:rPr>
                <m:t>p</m:t>
              </m:r>
            </m:e>
            <m:sub>
              <m:r>
                <m:t>r</m:t>
              </m:r>
            </m:sub>
            <m:sup>
              <m:r>
                <m:t>L</m:t>
              </m:r>
            </m:sup>
          </m:sSubSup>
          <m:r>
            <m:rPr>
              <m:sty m:val="p"/>
            </m:rPr>
            <m:t>,</m:t>
          </m:r>
        </m:oMath>
      </m:oMathPara>
    </w:p>
    <w:p>
      <w:pPr>
        <w:pStyle w:val="FirstParagraph"/>
      </w:pPr>
      <w:r>
        <w:t xml:space="preserve">and the inverse transformation is</w:t>
      </w:r>
    </w:p>
    <w:p>
      <w:pPr>
        <w:pStyle w:val="BodyText"/>
      </w:pPr>
      <m:oMathPara>
        <m:oMathParaPr>
          <m:jc m:val="center"/>
        </m:oMathParaPr>
        <m:oMath>
          <m:sSubSup>
            <m:e>
              <m:r>
                <m:rPr>
                  <m:sty m:val="b"/>
                </m:rPr>
                <m:t>p</m:t>
              </m:r>
            </m:e>
            <m:sub>
              <m:r>
                <m:t>r</m:t>
              </m:r>
            </m:sub>
            <m:sup>
              <m:r>
                <m:t>L</m:t>
              </m:r>
            </m:sup>
          </m:sSubSup>
          <m:r>
            <m:rPr>
              <m:sty m:val="p"/>
            </m:rPr>
            <m:t>=</m:t>
          </m:r>
          <m:sSubSup>
            <m:e>
              <m:r>
                <m:t>R</m:t>
              </m:r>
            </m:e>
            <m:sub>
              <m:r>
                <m:t>r</m:t>
              </m:r>
            </m:sub>
            <m:sup>
              <m:r>
                <m:t>T</m:t>
              </m:r>
            </m:sup>
          </m:sSubSup>
          <m:d>
            <m:dPr>
              <m:begChr m:val="("/>
              <m:sepChr m:val=""/>
              <m:endChr m:val=")"/>
              <m:grow/>
            </m:dPr>
            <m:e>
              <m:sSubSup>
                <m:e>
                  <m:r>
                    <m:rPr>
                      <m:sty m:val="b"/>
                    </m:rPr>
                    <m:t>p</m:t>
                  </m:r>
                </m:e>
                <m:sub>
                  <m:r>
                    <m:t>r</m:t>
                  </m:r>
                </m:sub>
                <m:sup>
                  <m:r>
                    <m:t>W</m:t>
                  </m:r>
                </m:sup>
              </m:sSubSup>
              <m:r>
                <m:rPr>
                  <m:sty m:val="p"/>
                </m:rPr>
                <m:t>−</m:t>
              </m:r>
              <m:sSub>
                <m:e>
                  <m:r>
                    <m:rPr>
                      <m:sty m:val="b"/>
                    </m:rPr>
                    <m:t>t</m:t>
                  </m:r>
                </m:e>
                <m:sub>
                  <m:r>
                    <m:t>r</m:t>
                  </m:r>
                </m:sub>
              </m:sSub>
            </m:e>
          </m:d>
          <m:r>
            <m:rPr>
              <m:sty m:val="p"/>
            </m:rPr>
            <m:t>.</m:t>
          </m:r>
        </m:oMath>
      </m:oMathPara>
    </w:p>
    <w:p>
      <w:pPr>
        <w:pStyle w:val="FirstParagraph"/>
      </w:pPr>
      <w:r>
        <w:t xml:space="preserve">This frame normalization is essential: intersection and centrality are evaluated in one common world frame, while final TCP commands are converted back into the local frame of each robot.</w:t>
      </w:r>
    </w:p>
    <w:bookmarkEnd w:id="21"/>
    <w:bookmarkStart w:id="25" w:name="estimating-the-shared-interaction-region"/>
    <w:p>
      <w:pPr>
        <w:pStyle w:val="Heading1"/>
      </w:pPr>
      <w:r>
        <w:rPr>
          <w:rStyle w:val="SectionNumber"/>
        </w:rPr>
        <w:t xml:space="preserve">3</w:t>
      </w:r>
      <w:r>
        <w:tab/>
      </w:r>
      <w:r>
        <w:t xml:space="preserve">Estimating the shared interaction region</w:t>
      </w:r>
    </w:p>
    <w:bookmarkStart w:id="22" w:name="native-sample-spacing"/>
    <w:p>
      <w:pPr>
        <w:pStyle w:val="Heading2"/>
      </w:pPr>
      <w:r>
        <w:rPr>
          <w:rStyle w:val="SectionNumber"/>
        </w:rPr>
        <w:t xml:space="preserve">3.1</w:t>
      </w:r>
      <w:r>
        <w:tab/>
      </w:r>
      <w:r>
        <w:t xml:space="preserve">Native sample spacing</w:t>
      </w:r>
    </w:p>
    <w:p>
      <w:pPr>
        <w:pStyle w:val="FirstParagraph"/>
      </w:pPr>
      <w:r>
        <w:t xml:space="preserve">The point clouds can have different sampling densities. For every distinct sample</w:t>
      </w:r>
      <w:r>
        <w:t xml:space="preserve"> </w:t>
      </w:r>
      <m:oMath>
        <m:sSub>
          <m:e>
            <m:r>
              <m:rPr>
                <m:sty m:val="b"/>
              </m:rPr>
              <m:t>p</m:t>
            </m:r>
          </m:e>
          <m:sub>
            <m:r>
              <m:t>i</m:t>
            </m:r>
          </m:sub>
        </m:sSub>
      </m:oMath>
      <w:r>
        <w:t xml:space="preserve"> </w:t>
      </w:r>
      <w:r>
        <w:t xml:space="preserve">in a workspace, the nearest-neighbor distance is</w:t>
      </w:r>
    </w:p>
    <w:p>
      <w:pPr>
        <w:pStyle w:val="BodyText"/>
      </w:pPr>
      <m:oMathPara>
        <m:oMathParaPr>
          <m:jc m:val="center"/>
        </m:oMathParaPr>
        <m:oMath>
          <m:sSubSup>
            <m:e>
              <m:r>
                <m:t>d</m:t>
              </m:r>
            </m:e>
            <m:sub>
              <m:r>
                <m:t>i</m:t>
              </m:r>
            </m:sub>
            <m:sup>
              <m:r>
                <m:rPr>
                  <m:sty m:val="p"/>
                </m:rPr>
                <m:t>N</m:t>
              </m:r>
              <m:r>
                <m:rPr>
                  <m:sty m:val="p"/>
                </m:rPr>
                <m:t>N</m:t>
              </m:r>
            </m:sup>
          </m:sSubSup>
          <m:r>
            <m:rPr>
              <m:sty m:val="p"/>
            </m:rPr>
            <m:t>=</m:t>
          </m:r>
          <m:limLow>
            <m:e>
              <m:r>
                <m:rPr>
                  <m:sty m:val="p"/>
                </m:rPr>
                <m:t>min</m:t>
              </m:r>
            </m:e>
            <m:lim>
              <m:r>
                <m:t>j</m:t>
              </m:r>
              <m:r>
                <m:rPr>
                  <m:sty m:val="p"/>
                </m:rPr>
                <m:t>≠</m:t>
              </m:r>
              <m:r>
                <m:t>i</m:t>
              </m:r>
            </m:lim>
          </m:limLow>
          <m:sSub>
            <m:e>
              <m:d>
                <m:dPr>
                  <m:begChr m:val="‖"/>
                  <m:sepChr m:val=""/>
                  <m:endChr m:val="‖"/>
                  <m:grow/>
                </m:dPr>
                <m:e>
                  <m:sSub>
                    <m:e>
                      <m:r>
                        <m:rPr>
                          <m:sty m:val="b"/>
                        </m:rPr>
                        <m:t>p</m:t>
                      </m:r>
                    </m:e>
                    <m:sub>
                      <m:r>
                        <m:t>i</m:t>
                      </m:r>
                    </m:sub>
                  </m:sSub>
                  <m:r>
                    <m:rPr>
                      <m:sty m:val="p"/>
                    </m:rPr>
                    <m:t>−</m:t>
                  </m:r>
                  <m:sSub>
                    <m:e>
                      <m:r>
                        <m:rPr>
                          <m:sty m:val="b"/>
                        </m:rPr>
                        <m:t>p</m:t>
                      </m:r>
                    </m:e>
                    <m:sub>
                      <m:r>
                        <m:t>j</m:t>
                      </m:r>
                    </m:sub>
                  </m:sSub>
                </m:e>
              </m:d>
            </m:e>
            <m:sub>
              <m:r>
                <m:t>2</m:t>
              </m:r>
            </m:sub>
          </m:sSub>
          <m:r>
            <m:rPr>
              <m:sty m:val="p"/>
            </m:rPr>
            <m:t>.</m:t>
          </m:r>
        </m:oMath>
      </m:oMathPara>
    </w:p>
    <w:p>
      <w:pPr>
        <w:pStyle w:val="FirstParagraph"/>
      </w:pPr>
      <w:r>
        <w:t xml:space="preserve">The characteristic spacing of robot</w:t>
      </w:r>
      <w:r>
        <w:t xml:space="preserve"> </w:t>
      </w:r>
      <m:oMath>
        <m:r>
          <m:t>r</m:t>
        </m:r>
      </m:oMath>
      <w:r>
        <w:t xml:space="preserve"> </w:t>
      </w:r>
      <w:r>
        <w:t xml:space="preserve">is estimated with the configured quantile (currently</w:t>
      </w:r>
      <w:r>
        <w:t xml:space="preserve"> </w:t>
      </w:r>
      <m:oMath>
        <m:sSub>
          <m:e>
            <m:r>
              <m:t>q</m:t>
            </m:r>
          </m:e>
          <m:sub>
            <m:r>
              <m:t>s</m:t>
            </m:r>
          </m:sub>
        </m:sSub>
        <m:r>
          <m:rPr>
            <m:sty m:val="p"/>
          </m:rPr>
          <m:t>=</m:t>
        </m:r>
        <m:r>
          <m:t>0.75</m:t>
        </m:r>
      </m:oMath>
      <w:r>
        <w:t xml:space="preserve">):</w:t>
      </w:r>
    </w:p>
    <w:p>
      <w:pPr>
        <w:pStyle w:val="BodyText"/>
      </w:pPr>
      <m:oMathPara>
        <m:oMathParaPr>
          <m:jc m:val="center"/>
        </m:oMathParaPr>
        <m:oMath>
          <m:sSub>
            <m:e>
              <m:r>
                <m:t>s</m:t>
              </m:r>
            </m:e>
            <m:sub>
              <m:r>
                <m:t>r</m:t>
              </m:r>
            </m:sub>
          </m:sSub>
          <m:r>
            <m:rPr>
              <m:sty m:val="p"/>
            </m:rPr>
            <m:t>=</m:t>
          </m:r>
          <m:sSub>
            <m:e>
              <m:r>
                <m:t>Q</m:t>
              </m:r>
            </m:e>
            <m:sub>
              <m:sSub>
                <m:e>
                  <m:r>
                    <m:t>q</m:t>
                  </m:r>
                </m:e>
                <m:sub>
                  <m:r>
                    <m:t>s</m:t>
                  </m:r>
                </m:sub>
              </m:sSub>
            </m:sub>
          </m:sSub>
          <m:d>
            <m:dPr>
              <m:begChr m:val="("/>
              <m:sepChr m:val=""/>
              <m:endChr m:val=")"/>
              <m:grow/>
            </m:dPr>
            <m:e>
              <m:r>
                <m:rPr>
                  <m:sty m:val="p"/>
                </m:rPr>
                <m:t>{</m:t>
              </m:r>
              <m:sSubSup>
                <m:e>
                  <m:r>
                    <m:t>d</m:t>
                  </m:r>
                </m:e>
                <m:sub>
                  <m:r>
                    <m:t>i</m:t>
                  </m:r>
                </m:sub>
                <m:sup>
                  <m:r>
                    <m:rPr>
                      <m:sty m:val="p"/>
                    </m:rPr>
                    <m:t>N</m:t>
                  </m:r>
                  <m:r>
                    <m:rPr>
                      <m:sty m:val="p"/>
                    </m:rPr>
                    <m:t>N</m:t>
                  </m:r>
                </m:sup>
              </m:sSubSup>
              <m:r>
                <m:rPr>
                  <m:sty m:val="p"/>
                </m:rPr>
                <m:t>}</m:t>
              </m:r>
            </m:e>
          </m:d>
          <m:r>
            <m:rPr>
              <m:sty m:val="p"/>
            </m:rPr>
            <m:t>.</m:t>
          </m:r>
        </m:oMath>
      </m:oMathPara>
    </w:p>
    <w:p>
      <w:pPr>
        <w:pStyle w:val="FirstParagraph"/>
      </w:pPr>
      <w:r>
        <w:t xml:space="preserve">The conservative shared spacing is</w:t>
      </w:r>
    </w:p>
    <w:p>
      <w:pPr>
        <w:pStyle w:val="BodyText"/>
      </w:pPr>
      <m:oMathPara>
        <m:oMathParaPr>
          <m:jc m:val="center"/>
        </m:oMathParaPr>
        <m:oMath>
          <m:r>
            <m:t>s</m:t>
          </m:r>
          <m:r>
            <m:rPr>
              <m:sty m:val="p"/>
            </m:rPr>
            <m:t>=</m:t>
          </m:r>
          <m:r>
            <m:rPr>
              <m:sty m:val="p"/>
            </m:rPr>
            <m:t>max</m:t>
          </m:r>
          <m:d>
            <m:dPr>
              <m:begChr m:val="("/>
              <m:sepChr m:val=""/>
              <m:endChr m:val=")"/>
              <m:grow/>
            </m:dPr>
            <m:e>
              <m:sSub>
                <m:e>
                  <m:r>
                    <m:t>s</m:t>
                  </m:r>
                </m:e>
                <m:sub>
                  <m:r>
                    <m:t>A</m:t>
                  </m:r>
                </m:sub>
              </m:sSub>
              <m:r>
                <m:rPr>
                  <m:sty m:val="p"/>
                </m:rPr>
                <m:t>,</m:t>
              </m:r>
              <m:sSub>
                <m:e>
                  <m:r>
                    <m:t>s</m:t>
                  </m:r>
                </m:e>
                <m:sub>
                  <m:r>
                    <m:t>B</m:t>
                  </m:r>
                </m:sub>
              </m:sSub>
            </m:e>
          </m:d>
          <m:r>
            <m:rPr>
              <m:sty m:val="p"/>
            </m:rPr>
            <m:t>.</m:t>
          </m:r>
        </m:oMath>
      </m:oMathPara>
    </w:p>
    <w:p>
      <w:pPr>
        <w:pStyle w:val="FirstParagraph"/>
      </w:pPr>
      <w:r>
        <w:t xml:space="preserve">Using the larger spacing prevents the more densely sampled robot from creating unjustified precision in the overlap estimate.</w:t>
      </w:r>
    </w:p>
    <w:bookmarkEnd w:id="22"/>
    <w:bookmarkStart w:id="23" w:name="Xcc9e28da5659d124923deedf62dd534cb1a7f72"/>
    <w:p>
      <w:pPr>
        <w:pStyle w:val="Heading2"/>
      </w:pPr>
      <w:r>
        <w:rPr>
          <w:rStyle w:val="SectionNumber"/>
        </w:rPr>
        <w:t xml:space="preserve">3.2</w:t>
      </w:r>
      <w:r>
        <w:tab/>
      </w:r>
      <w:r>
        <w:t xml:space="preserve">Proximity estimate and adaptive voxel size</w:t>
      </w:r>
    </w:p>
    <w:p>
      <w:pPr>
        <w:pStyle w:val="FirstParagraph"/>
      </w:pPr>
      <w:r>
        <w:t xml:space="preserve">The proximity radius is</w:t>
      </w:r>
    </w:p>
    <w:p>
      <w:pPr>
        <w:pStyle w:val="BodyText"/>
      </w:pPr>
      <m:oMathPara>
        <m:oMathParaPr>
          <m:jc m:val="center"/>
        </m:oMathParaPr>
        <m:oMath>
          <m:sSub>
            <m:e>
              <m:r>
                <m:t>r</m:t>
              </m:r>
            </m:e>
            <m:sub>
              <m:r>
                <m:t>p</m:t>
              </m:r>
            </m:sub>
          </m:sSub>
          <m:r>
            <m:rPr>
              <m:sty m:val="p"/>
            </m:rPr>
            <m:t>=</m:t>
          </m:r>
          <m:sSub>
            <m:e>
              <m:r>
                <m:t>k</m:t>
              </m:r>
            </m:e>
            <m:sub>
              <m:r>
                <m:t>p</m:t>
              </m:r>
            </m:sub>
          </m:sSub>
          <m:r>
            <m:t>s</m:t>
          </m:r>
          <m:r>
            <m:rPr>
              <m:sty m:val="p"/>
            </m:rPr>
            <m:t>,</m:t>
          </m:r>
        </m:oMath>
      </m:oMathPara>
    </w:p>
    <w:p>
      <w:pPr>
        <w:pStyle w:val="FirstParagraph"/>
      </w:pPr>
      <w:r>
        <w:t xml:space="preserve">where the current proximity factor is</w:t>
      </w:r>
      <w:r>
        <w:t xml:space="preserve"> </w:t>
      </w:r>
      <m:oMath>
        <m:sSub>
          <m:e>
            <m:r>
              <m:t>k</m:t>
            </m:r>
          </m:e>
          <m:sub>
            <m:r>
              <m:t>p</m:t>
            </m:r>
          </m:sub>
        </m:sSub>
        <m:r>
          <m:rPr>
            <m:sty m:val="p"/>
          </m:rPr>
          <m:t>=</m:t>
        </m:r>
        <m:r>
          <m:t>1.25</m:t>
        </m:r>
      </m:oMath>
      <w:r>
        <w:t xml:space="preserve">. KD-tree queries estimate how many samples in each workspace have a neighbor from the other workspace within</w:t>
      </w:r>
      <w:r>
        <w:t xml:space="preserve"> </w:t>
      </w:r>
      <m:oMath>
        <m:sSub>
          <m:e>
            <m:r>
              <m:t>r</m:t>
            </m:r>
          </m:e>
          <m:sub>
            <m:r>
              <m:t>p</m:t>
            </m:r>
          </m:sub>
        </m:sSub>
      </m:oMath>
      <w:r>
        <w:t xml:space="preserve">. With bidirectional estimation enabled, the smaller normalized overlap ratio is used so that both point clouds must support the estimate.</w:t>
      </w:r>
    </w:p>
    <w:p>
      <w:pPr>
        <w:pStyle w:val="BodyText"/>
      </w:pPr>
      <w:r>
        <w:t xml:space="preserve">Let</w:t>
      </w:r>
      <w:r>
        <w:t xml:space="preserve"> </w:t>
      </w:r>
      <m:oMath>
        <m:sSub>
          <m:e>
            <m:acc>
              <m:accPr>
                <m:chr m:val="̂"/>
              </m:accPr>
              <m:e>
                <m:r>
                  <m:t>N</m:t>
                </m:r>
              </m:e>
            </m:acc>
          </m:e>
          <m:sub>
            <m:r>
              <m:rPr>
                <m:sty m:val="p"/>
              </m:rPr>
              <m:t>c</m:t>
            </m:r>
            <m:r>
              <m:rPr>
                <m:sty m:val="p"/>
              </m:rPr>
              <m:t>l</m:t>
            </m:r>
            <m:r>
              <m:rPr>
                <m:sty m:val="p"/>
              </m:rPr>
              <m:t>o</m:t>
            </m:r>
            <m:r>
              <m:rPr>
                <m:sty m:val="p"/>
              </m:rPr>
              <m:t>s</m:t>
            </m:r>
            <m:r>
              <m:rPr>
                <m:sty m:val="p"/>
              </m:rPr>
              <m:t>e</m:t>
            </m:r>
          </m:sub>
        </m:sSub>
      </m:oMath>
      <w:r>
        <w:t xml:space="preserve"> </w:t>
      </w:r>
      <w:r>
        <w:t xml:space="preserve">be the resulting estimated number of close samples and</w:t>
      </w:r>
      <w:r>
        <w:t xml:space="preserve"> </w:t>
      </w:r>
      <m:oMath>
        <m:sSub>
          <m:e>
            <m:r>
              <m:t>N</m:t>
            </m:r>
          </m:e>
          <m:sub>
            <m:r>
              <m:t>t</m:t>
            </m:r>
          </m:sub>
        </m:sSub>
      </m:oMath>
      <w:r>
        <w:t xml:space="preserve"> </w:t>
      </w:r>
      <w:r>
        <w:t xml:space="preserve">the target voxel count (currently</w:t>
      </w:r>
      <w:r>
        <w:t xml:space="preserve"> </w:t>
      </w:r>
      <m:oMath>
        <m:sSub>
          <m:e>
            <m:r>
              <m:t>N</m:t>
            </m:r>
          </m:e>
          <m:sub>
            <m:r>
              <m:t>t</m:t>
            </m:r>
          </m:sub>
        </m:sSub>
        <m:r>
          <m:rPr>
            <m:sty m:val="p"/>
          </m:rPr>
          <m:t>=</m:t>
        </m:r>
        <m:r>
          <m:t>1000</m:t>
        </m:r>
      </m:oMath>
      <w:r>
        <w:t xml:space="preserve">). The unbounded voxel-size estimate is</w:t>
      </w:r>
    </w:p>
    <w:p>
      <w:pPr>
        <w:pStyle w:val="BodyText"/>
      </w:pPr>
      <m:oMathPara>
        <m:oMathParaPr>
          <m:jc m:val="center"/>
        </m:oMathParaPr>
        <m:oMath>
          <m:acc>
            <m:accPr>
              <m:chr m:val="̂"/>
            </m:accPr>
            <m:e>
              <m:r>
                <m:t>h</m:t>
              </m:r>
            </m:e>
          </m:acc>
          <m:r>
            <m:rPr>
              <m:sty m:val="p"/>
            </m:rPr>
            <m:t>=</m:t>
          </m:r>
          <m:r>
            <m:t>s</m:t>
          </m:r>
          <m:rad>
            <m:deg>
              <m:r>
                <m:t>3</m:t>
              </m:r>
            </m:deg>
            <m:e>
              <m:r>
                <m:rPr>
                  <m:sty m:val="p"/>
                </m:rPr>
                <m:t>max</m:t>
              </m:r>
              <m:d>
                <m:dPr>
                  <m:begChr m:val="("/>
                  <m:sepChr m:val=""/>
                  <m:endChr m:val=")"/>
                  <m:grow/>
                </m:dPr>
                <m:e>
                  <m:f>
                    <m:fPr>
                      <m:type m:val="bar"/>
                    </m:fPr>
                    <m:num>
                      <m:sSub>
                        <m:e>
                          <m:acc>
                            <m:accPr>
                              <m:chr m:val="̂"/>
                            </m:accPr>
                            <m:e>
                              <m:r>
                                <m:t>N</m:t>
                              </m:r>
                            </m:e>
                          </m:acc>
                        </m:e>
                        <m:sub>
                          <m:r>
                            <m:rPr>
                              <m:sty m:val="p"/>
                            </m:rPr>
                            <m:t>c</m:t>
                          </m:r>
                          <m:r>
                            <m:rPr>
                              <m:sty m:val="p"/>
                            </m:rPr>
                            <m:t>l</m:t>
                          </m:r>
                          <m:r>
                            <m:rPr>
                              <m:sty m:val="p"/>
                            </m:rPr>
                            <m:t>o</m:t>
                          </m:r>
                          <m:r>
                            <m:rPr>
                              <m:sty m:val="p"/>
                            </m:rPr>
                            <m:t>s</m:t>
                          </m:r>
                          <m:r>
                            <m:rPr>
                              <m:sty m:val="p"/>
                            </m:rPr>
                            <m:t>e</m:t>
                          </m:r>
                        </m:sub>
                      </m:sSub>
                    </m:num>
                    <m:den>
                      <m:sSub>
                        <m:e>
                          <m:r>
                            <m:t>N</m:t>
                          </m:r>
                        </m:e>
                        <m:sub>
                          <m:r>
                            <m:t>t</m:t>
                          </m:r>
                        </m:sub>
                      </m:sSub>
                    </m:den>
                  </m:f>
                  <m:r>
                    <m:rPr>
                      <m:sty m:val="p"/>
                    </m:rPr>
                    <m:t>,</m:t>
                  </m:r>
                  <m:r>
                    <m:t>1</m:t>
                  </m:r>
                </m:e>
              </m:d>
            </m:e>
          </m:rad>
          <m:r>
            <m:rPr>
              <m:sty m:val="p"/>
            </m:rPr>
            <m:t>.</m:t>
          </m:r>
        </m:oMath>
      </m:oMathPara>
    </w:p>
    <w:p>
      <w:pPr>
        <w:pStyle w:val="FirstParagraph"/>
      </w:pPr>
      <w:r>
        <w:t xml:space="preserve">It is clamped to the native-resolution and configured limits:</w:t>
      </w:r>
    </w:p>
    <w:p>
      <w:pPr>
        <w:pStyle w:val="BodyText"/>
      </w:pPr>
      <m:oMathPara>
        <m:oMathParaPr>
          <m:jc m:val="center"/>
        </m:oMathParaPr>
        <m:oMath>
          <m:r>
            <m:t>h</m:t>
          </m:r>
          <m:r>
            <m:rPr>
              <m:sty m:val="p"/>
            </m:rPr>
            <m:t>=</m:t>
          </m:r>
          <m:r>
            <m:rPr>
              <m:sty m:val="p"/>
            </m:rPr>
            <m:t>min</m:t>
          </m:r>
          <m:d>
            <m:dPr>
              <m:begChr m:val="("/>
              <m:sepChr m:val=""/>
              <m:endChr m:val=")"/>
              <m:grow/>
            </m:dPr>
            <m:e>
              <m:sSub>
                <m:e>
                  <m:r>
                    <m:t>h</m:t>
                  </m:r>
                </m:e>
                <m:sub>
                  <m:r>
                    <m:rPr>
                      <m:sty m:val="p"/>
                    </m:rPr>
                    <m:t>max</m:t>
                  </m:r>
                </m:sub>
              </m:sSub>
              <m:r>
                <m:rPr>
                  <m:sty m:val="p"/>
                </m:rPr>
                <m:t>,</m:t>
              </m:r>
              <m:r>
                <m:rPr>
                  <m:sty m:val="p"/>
                </m:rPr>
                <m:t>max</m:t>
              </m:r>
              <m:d>
                <m:dPr>
                  <m:begChr m:val="("/>
                  <m:sepChr m:val=""/>
                  <m:endChr m:val=")"/>
                  <m:grow/>
                </m:dPr>
                <m:e>
                  <m:acc>
                    <m:accPr>
                      <m:chr m:val="̂"/>
                    </m:accPr>
                    <m:e>
                      <m:r>
                        <m:t>h</m:t>
                      </m:r>
                    </m:e>
                  </m:acc>
                  <m:r>
                    <m:rPr>
                      <m:sty m:val="p"/>
                    </m:rPr>
                    <m:t>,</m:t>
                  </m:r>
                  <m:r>
                    <m:t>s</m:t>
                  </m:r>
                  <m:r>
                    <m:rPr>
                      <m:sty m:val="p"/>
                    </m:rPr>
                    <m:t>,</m:t>
                  </m:r>
                  <m:sSub>
                    <m:e>
                      <m:r>
                        <m:t>h</m:t>
                      </m:r>
                    </m:e>
                    <m:sub>
                      <m:r>
                        <m:rPr>
                          <m:sty m:val="p"/>
                        </m:rPr>
                        <m:t>min</m:t>
                      </m:r>
                    </m:sub>
                  </m:sSub>
                </m:e>
              </m:d>
            </m:e>
          </m:d>
          <m:r>
            <m:rPr>
              <m:sty m:val="p"/>
            </m:rPr>
            <m:t>.</m:t>
          </m:r>
        </m:oMath>
      </m:oMathPara>
    </w:p>
    <w:p>
      <w:pPr>
        <w:pStyle w:val="FirstParagraph"/>
      </w:pPr>
      <w:r>
        <w:t xml:space="preserve">If the proximity estimator finds no close samples, the implementation falls back to a bounding-box volume estimate.</w:t>
      </w:r>
    </w:p>
    <w:bookmarkEnd w:id="23"/>
    <w:bookmarkStart w:id="24" w:name="voxelization-and-intersection"/>
    <w:p>
      <w:pPr>
        <w:pStyle w:val="Heading2"/>
      </w:pPr>
      <w:r>
        <w:rPr>
          <w:rStyle w:val="SectionNumber"/>
        </w:rPr>
        <w:t xml:space="preserve">3.3</w:t>
      </w:r>
      <w:r>
        <w:tab/>
      </w:r>
      <w:r>
        <w:t xml:space="preserve">Voxelization and intersection</w:t>
      </w:r>
    </w:p>
    <w:p>
      <w:pPr>
        <w:pStyle w:val="FirstParagraph"/>
      </w:pPr>
      <w:r>
        <w:t xml:space="preserve">Let</w:t>
      </w:r>
      <w:r>
        <w:t xml:space="preserve"> </w:t>
      </w:r>
      <m:oMath>
        <m:r>
          <m:rPr>
            <m:sty m:val="b"/>
          </m:rPr>
          <m:t>o</m:t>
        </m:r>
      </m:oMath>
      <w:r>
        <w:t xml:space="preserve"> </w:t>
      </w:r>
      <w:r>
        <w:t xml:space="preserve">be the component-wise minimum of the two world-space bounding boxes. A world point is mapped to the integer voxel index</w:t>
      </w:r>
    </w:p>
    <w:p>
      <w:pPr>
        <w:pStyle w:val="BodyText"/>
      </w:pPr>
      <m:oMathPara>
        <m:oMathParaPr>
          <m:jc m:val="center"/>
        </m:oMathParaPr>
        <m:oMath>
          <m:r>
            <m:t>ν</m:t>
          </m:r>
          <m:d>
            <m:dPr>
              <m:begChr m:val="("/>
              <m:sepChr m:val=""/>
              <m:endChr m:val=")"/>
              <m:grow/>
            </m:dPr>
            <m:e>
              <m:r>
                <m:rPr>
                  <m:sty m:val="b"/>
                </m:rPr>
                <m:t>p</m:t>
              </m:r>
            </m:e>
          </m:d>
          <m:r>
            <m:rPr>
              <m:sty m:val="p"/>
            </m:rPr>
            <m:t>=</m:t>
          </m:r>
          <m:d>
            <m:dPr>
              <m:begChr m:val="⌊"/>
              <m:sepChr m:val=""/>
              <m:endChr m:val="⌋"/>
              <m:grow/>
            </m:dPr>
            <m:e>
              <m:f>
                <m:fPr>
                  <m:type m:val="bar"/>
                </m:fPr>
                <m:num>
                  <m:r>
                    <m:rPr>
                      <m:sty m:val="b"/>
                    </m:rPr>
                    <m:t>p</m:t>
                  </m:r>
                  <m:r>
                    <m:rPr>
                      <m:sty m:val="p"/>
                    </m:rPr>
                    <m:t>−</m:t>
                  </m:r>
                  <m:r>
                    <m:rPr>
                      <m:sty m:val="b"/>
                    </m:rPr>
                    <m:t>o</m:t>
                  </m:r>
                </m:num>
                <m:den>
                  <m:r>
                    <m:t>h</m:t>
                  </m:r>
                </m:den>
              </m:f>
            </m:e>
          </m:d>
          <m:r>
            <m:rPr>
              <m:sty m:val="p"/>
            </m:rPr>
            <m:t>,</m:t>
          </m:r>
        </m:oMath>
      </m:oMathPara>
    </w:p>
    <w:p>
      <w:pPr>
        <w:pStyle w:val="FirstParagraph"/>
      </w:pPr>
      <w:r>
        <w:t xml:space="preserve">where division and the floor operation are component-wise. The occupied voxel sets are</w:t>
      </w:r>
    </w:p>
    <w:p>
      <w:pPr>
        <w:pStyle w:val="BodyText"/>
      </w:pPr>
      <m:oMathPara>
        <m:oMathParaPr>
          <m:jc m:val="center"/>
        </m:oMathParaPr>
        <m:oMath>
          <m:sSub>
            <m:e>
              <m:r>
                <m:t>V</m:t>
              </m:r>
            </m:e>
            <m:sub>
              <m:r>
                <m:t>A</m:t>
              </m:r>
            </m:sub>
          </m:sSub>
          <m:r>
            <m:rPr>
              <m:sty m:val="p"/>
            </m:rPr>
            <m:t>=</m:t>
          </m:r>
          <m:r>
            <m:rPr>
              <m:sty m:val="p"/>
            </m:rPr>
            <m:t>{</m:t>
          </m:r>
          <m:r>
            <m:t>ν</m:t>
          </m:r>
          <m:d>
            <m:dPr>
              <m:begChr m:val="("/>
              <m:sepChr m:val=""/>
              <m:endChr m:val=")"/>
              <m:grow/>
            </m:dPr>
            <m:e>
              <m:r>
                <m:rPr>
                  <m:sty m:val="b"/>
                </m:rPr>
                <m:t>p</m:t>
              </m:r>
            </m:e>
          </m:d>
          <m:r>
            <m:rPr>
              <m:sty m:val="p"/>
            </m:rPr>
            <m:t>∣</m:t>
          </m:r>
          <m:r>
            <m:rPr>
              <m:sty m:val="b"/>
            </m:rPr>
            <m:t>p</m:t>
          </m:r>
          <m:r>
            <m:rPr>
              <m:sty m:val="p"/>
            </m:rPr>
            <m:t>∈</m:t>
          </m:r>
          <m:sSubSup>
            <m:e>
              <m:r>
                <m:t>W</m:t>
              </m:r>
            </m:e>
            <m:sub>
              <m:r>
                <m:t>A</m:t>
              </m:r>
            </m:sub>
            <m:sup>
              <m:r>
                <m:t>W</m:t>
              </m:r>
            </m:sup>
          </m:sSubSup>
          <m:r>
            <m:rPr>
              <m:sty m:val="p"/>
            </m:rPr>
            <m:t>}</m:t>
          </m:r>
          <m:r>
            <m:rPr>
              <m:sty m:val="p"/>
            </m:rPr>
            <m:t>,</m:t>
          </m:r>
          <m:r>
            <m:t>  </m:t>
          </m:r>
          <m:sSub>
            <m:e>
              <m:r>
                <m:t>V</m:t>
              </m:r>
            </m:e>
            <m:sub>
              <m:r>
                <m:t>B</m:t>
              </m:r>
            </m:sub>
          </m:sSub>
          <m:r>
            <m:rPr>
              <m:sty m:val="p"/>
            </m:rPr>
            <m:t>=</m:t>
          </m:r>
          <m:r>
            <m:rPr>
              <m:sty m:val="p"/>
            </m:rPr>
            <m:t>{</m:t>
          </m:r>
          <m:r>
            <m:t>ν</m:t>
          </m:r>
          <m:d>
            <m:dPr>
              <m:begChr m:val="("/>
              <m:sepChr m:val=""/>
              <m:endChr m:val=")"/>
              <m:grow/>
            </m:dPr>
            <m:e>
              <m:r>
                <m:rPr>
                  <m:sty m:val="b"/>
                </m:rPr>
                <m:t>p</m:t>
              </m:r>
            </m:e>
          </m:d>
          <m:r>
            <m:rPr>
              <m:sty m:val="p"/>
            </m:rPr>
            <m:t>∣</m:t>
          </m:r>
          <m:r>
            <m:rPr>
              <m:sty m:val="b"/>
            </m:rPr>
            <m:t>p</m:t>
          </m:r>
          <m:r>
            <m:rPr>
              <m:sty m:val="p"/>
            </m:rPr>
            <m:t>∈</m:t>
          </m:r>
          <m:sSubSup>
            <m:e>
              <m:r>
                <m:t>W</m:t>
              </m:r>
            </m:e>
            <m:sub>
              <m:r>
                <m:t>B</m:t>
              </m:r>
            </m:sub>
            <m:sup>
              <m:r>
                <m:t>W</m:t>
              </m:r>
            </m:sup>
          </m:sSubSup>
          <m:r>
            <m:rPr>
              <m:sty m:val="p"/>
            </m:rPr>
            <m:t>}</m:t>
          </m:r>
          <m:r>
            <m:rPr>
              <m:sty m:val="p"/>
            </m:rPr>
            <m:t>.</m:t>
          </m:r>
        </m:oMath>
      </m:oMathPara>
    </w:p>
    <w:p>
      <w:pPr>
        <w:pStyle w:val="FirstParagraph"/>
      </w:pPr>
      <w:r>
        <w:t xml:space="preserve">The discrete interaction region is their intersection:</w:t>
      </w:r>
    </w:p>
    <w:p>
      <w:pPr>
        <w:pStyle w:val="BodyText"/>
      </w:pPr>
      <m:oMathPara>
        <m:oMathParaPr>
          <m:jc m:val="center"/>
        </m:oMathParaPr>
        <m:oMath>
          <m:sSub>
            <m:e>
              <m:r>
                <m:t>V</m:t>
              </m:r>
            </m:e>
            <m:sub>
              <m:r>
                <m:t>A</m:t>
              </m:r>
              <m:r>
                <m:t>B</m:t>
              </m:r>
            </m:sub>
          </m:sSub>
          <m:r>
            <m:rPr>
              <m:sty m:val="p"/>
            </m:rPr>
            <m:t>=</m:t>
          </m:r>
          <m:sSub>
            <m:e>
              <m:r>
                <m:t>V</m:t>
              </m:r>
            </m:e>
            <m:sub>
              <m:r>
                <m:t>A</m:t>
              </m:r>
            </m:sub>
          </m:sSub>
          <m:r>
            <m:rPr>
              <m:sty m:val="p"/>
            </m:rPr>
            <m:t>∩</m:t>
          </m:r>
          <m:sSub>
            <m:e>
              <m:r>
                <m:t>V</m:t>
              </m:r>
            </m:e>
            <m:sub>
              <m:r>
                <m:t>B</m:t>
              </m:r>
            </m:sub>
          </m:sSub>
          <m:r>
            <m:rPr>
              <m:sty m:val="p"/>
            </m:rPr>
            <m:t>.</m:t>
          </m:r>
        </m:oMath>
      </m:oMathPara>
    </w:p>
    <w:p>
      <w:pPr>
        <w:pStyle w:val="FirstParagraph"/>
      </w:pPr>
      <w:r>
        <w:t xml:space="preserve">For voxel index</w:t>
      </w:r>
      <w:r>
        <w:t xml:space="preserve"> </w:t>
      </w:r>
      <m:oMath>
        <m:r>
          <m:rPr>
            <m:sty m:val="b"/>
          </m:rPr>
          <m:t>k</m:t>
        </m:r>
        <m:r>
          <m:rPr>
            <m:sty m:val="p"/>
          </m:rPr>
          <m:t>=</m:t>
        </m:r>
        <m:sSup>
          <m:e>
            <m:d>
              <m:dPr>
                <m:begChr m:val="("/>
                <m:sepChr m:val=""/>
                <m:endChr m:val=")"/>
                <m:grow/>
              </m:dPr>
              <m:e>
                <m:sSub>
                  <m:e>
                    <m:r>
                      <m:t>k</m:t>
                    </m:r>
                  </m:e>
                  <m:sub>
                    <m:r>
                      <m:t>x</m:t>
                    </m:r>
                  </m:sub>
                </m:sSub>
                <m:r>
                  <m:rPr>
                    <m:sty m:val="p"/>
                  </m:rPr>
                  <m:t>,</m:t>
                </m:r>
                <m:sSub>
                  <m:e>
                    <m:r>
                      <m:t>k</m:t>
                    </m:r>
                  </m:e>
                  <m:sub>
                    <m:r>
                      <m:t>y</m:t>
                    </m:r>
                  </m:sub>
                </m:sSub>
                <m:r>
                  <m:rPr>
                    <m:sty m:val="p"/>
                  </m:rPr>
                  <m:t>,</m:t>
                </m:r>
                <m:sSub>
                  <m:e>
                    <m:r>
                      <m:t>k</m:t>
                    </m:r>
                  </m:e>
                  <m:sub>
                    <m:r>
                      <m:t>z</m:t>
                    </m:r>
                  </m:sub>
                </m:sSub>
              </m:e>
            </m:d>
          </m:e>
          <m:sup>
            <m:r>
              <m:t>T</m:t>
            </m:r>
          </m:sup>
        </m:sSup>
      </m:oMath>
      <w:r>
        <w:t xml:space="preserve">, its representative world-space center is</w:t>
      </w:r>
    </w:p>
    <w:p>
      <w:pPr>
        <w:pStyle w:val="BodyText"/>
      </w:pPr>
      <m:oMathPara>
        <m:oMathParaPr>
          <m:jc m:val="center"/>
        </m:oMathParaPr>
        <m:oMath>
          <m:r>
            <m:rPr>
              <m:sty m:val="b"/>
            </m:rPr>
            <m:t>c</m:t>
          </m:r>
          <m:d>
            <m:dPr>
              <m:begChr m:val="("/>
              <m:sepChr m:val=""/>
              <m:endChr m:val=")"/>
              <m:grow/>
            </m:dPr>
            <m:e>
              <m:r>
                <m:rPr>
                  <m:sty m:val="b"/>
                </m:rPr>
                <m:t>k</m:t>
              </m:r>
            </m:e>
          </m:d>
          <m:r>
            <m:rPr>
              <m:sty m:val="p"/>
            </m:rPr>
            <m:t>=</m:t>
          </m:r>
          <m:r>
            <m:rPr>
              <m:sty m:val="b"/>
            </m:rPr>
            <m:t>o</m:t>
          </m:r>
          <m:r>
            <m:rPr>
              <m:sty m:val="p"/>
            </m:rPr>
            <m:t>+</m:t>
          </m:r>
          <m:r>
            <m:t>h</m:t>
          </m:r>
          <m:d>
            <m:dPr>
              <m:begChr m:val="("/>
              <m:sepChr m:val=""/>
              <m:endChr m:val=")"/>
              <m:grow/>
            </m:dPr>
            <m:e>
              <m:r>
                <m:rPr>
                  <m:sty m:val="b"/>
                </m:rPr>
                <m:t>k</m:t>
              </m:r>
              <m:r>
                <m:rPr>
                  <m:sty m:val="p"/>
                </m:rPr>
                <m:t>+</m:t>
              </m:r>
              <m:f>
                <m:fPr>
                  <m:type m:val="bar"/>
                </m:fPr>
                <m:num>
                  <m:r>
                    <m:t>1</m:t>
                  </m:r>
                </m:num>
                <m:den>
                  <m:r>
                    <m:t>2</m:t>
                  </m:r>
                </m:den>
              </m:f>
              <m:r>
                <m:rPr>
                  <m:sty m:val="b"/>
                </m:rPr>
                <m:t>1</m:t>
              </m:r>
            </m:e>
          </m:d>
          <m:r>
            <m:rPr>
              <m:sty m:val="p"/>
            </m:rPr>
            <m:t>.</m:t>
          </m:r>
        </m:oMath>
      </m:oMathPara>
    </w:p>
    <w:p>
      <w:pPr>
        <w:pStyle w:val="FirstParagraph"/>
      </w:pPr>
      <w:r>
        <w:t xml:space="preserve">Thus, the initial shared candidate set is</w:t>
      </w:r>
    </w:p>
    <w:p>
      <w:pPr>
        <w:pStyle w:val="BodyText"/>
      </w:pPr>
      <m:oMathPara>
        <m:oMathParaPr>
          <m:jc m:val="center"/>
        </m:oMathParaPr>
        <m:oMath>
          <m:sSub>
            <m:e>
              <m:r>
                <m:t>C</m:t>
              </m:r>
            </m:e>
            <m:sub>
              <m:r>
                <m:t>A</m:t>
              </m:r>
              <m:r>
                <m:t>B</m:t>
              </m:r>
            </m:sub>
          </m:sSub>
          <m:r>
            <m:rPr>
              <m:sty m:val="p"/>
            </m:rPr>
            <m:t>=</m:t>
          </m:r>
          <m:r>
            <m:rPr>
              <m:sty m:val="p"/>
            </m:rPr>
            <m:t>{</m:t>
          </m:r>
          <m:r>
            <m:rPr>
              <m:sty m:val="b"/>
            </m:rPr>
            <m:t>c</m:t>
          </m:r>
          <m:d>
            <m:dPr>
              <m:begChr m:val="("/>
              <m:sepChr m:val=""/>
              <m:endChr m:val=")"/>
              <m:grow/>
            </m:dPr>
            <m:e>
              <m:r>
                <m:rPr>
                  <m:sty m:val="b"/>
                </m:rPr>
                <m:t>k</m:t>
              </m:r>
            </m:e>
          </m:d>
          <m:r>
            <m:rPr>
              <m:sty m:val="p"/>
            </m:rPr>
            <m:t>∣</m:t>
          </m:r>
          <m:r>
            <m:rPr>
              <m:sty m:val="b"/>
            </m:rPr>
            <m:t>k</m:t>
          </m:r>
          <m:r>
            <m:rPr>
              <m:sty m:val="p"/>
            </m:rPr>
            <m:t>∈</m:t>
          </m:r>
          <m:sSub>
            <m:e>
              <m:r>
                <m:t>V</m:t>
              </m:r>
            </m:e>
            <m:sub>
              <m:r>
                <m:t>A</m:t>
              </m:r>
              <m:r>
                <m:t>B</m:t>
              </m:r>
            </m:sub>
          </m:sSub>
          <m:r>
            <m:rPr>
              <m:sty m:val="p"/>
            </m:rPr>
            <m:t>}</m:t>
          </m:r>
          <m:r>
            <m:rPr>
              <m:sty m:val="p"/>
            </m:rPr>
            <m:t>.</m:t>
          </m:r>
        </m:oMath>
      </m:oMathPara>
    </w:p>
    <w:bookmarkEnd w:id="24"/>
    <w:bookmarkEnd w:id="25"/>
    <w:bookmarkStart w:id="29" w:name="X14d31a94b5bd821d2f144211a5e930968e6bb76"/>
    <w:p>
      <w:pPr>
        <w:pStyle w:val="Heading1"/>
      </w:pPr>
      <w:r>
        <w:rPr>
          <w:rStyle w:val="SectionNumber"/>
        </w:rPr>
        <w:t xml:space="preserve">4</w:t>
      </w:r>
      <w:r>
        <w:tab/>
      </w:r>
      <w:r>
        <w:t xml:space="preserve">Bounding the interaction region to its central core</w:t>
      </w:r>
    </w:p>
    <w:bookmarkStart w:id="26" w:name="height-constraint"/>
    <w:p>
      <w:pPr>
        <w:pStyle w:val="Heading2"/>
      </w:pPr>
      <w:r>
        <w:rPr>
          <w:rStyle w:val="SectionNumber"/>
        </w:rPr>
        <w:t xml:space="preserve">4.1</w:t>
      </w:r>
      <w:r>
        <w:tab/>
      </w:r>
      <w:r>
        <w:t xml:space="preserve">Height constraint</w:t>
      </w:r>
    </w:p>
    <w:p>
      <w:pPr>
        <w:pStyle w:val="FirstParagraph"/>
      </w:pPr>
      <w:r>
        <w:t xml:space="preserve">Candidates are first restricted to a handover-height interval:</w:t>
      </w:r>
    </w:p>
    <w:p>
      <w:pPr>
        <w:pStyle w:val="BodyText"/>
      </w:pPr>
      <m:oMathPara>
        <m:oMathParaPr>
          <m:jc m:val="center"/>
        </m:oMathParaPr>
        <m:oMath>
          <m:sSub>
            <m:e>
              <m:r>
                <m:t>C</m:t>
              </m:r>
            </m:e>
            <m:sub>
              <m:r>
                <m:t>H</m:t>
              </m:r>
            </m:sub>
          </m:sSub>
          <m:r>
            <m:rPr>
              <m:sty m:val="p"/>
            </m:rPr>
            <m:t>=</m:t>
          </m:r>
          <m:r>
            <m:rPr>
              <m:sty m:val="p"/>
            </m:rPr>
            <m:t>{</m:t>
          </m:r>
          <m:r>
            <m:rPr>
              <m:sty m:val="b"/>
            </m:rPr>
            <m:t>c</m:t>
          </m:r>
          <m:r>
            <m:rPr>
              <m:sty m:val="p"/>
            </m:rPr>
            <m:t>∈</m:t>
          </m:r>
          <m:sSub>
            <m:e>
              <m:r>
                <m:t>C</m:t>
              </m:r>
            </m:e>
            <m:sub>
              <m:r>
                <m:t>A</m:t>
              </m:r>
              <m:r>
                <m:t>B</m:t>
              </m:r>
            </m:sub>
          </m:sSub>
          <m:r>
            <m:rPr>
              <m:sty m:val="p"/>
            </m:rPr>
            <m:t>∣</m:t>
          </m:r>
          <m:sSub>
            <m:e>
              <m:r>
                <m:t>z</m:t>
              </m:r>
            </m:e>
            <m:sub>
              <m:r>
                <m:rPr>
                  <m:sty m:val="p"/>
                </m:rPr>
                <m:t>min</m:t>
              </m:r>
            </m:sub>
          </m:sSub>
          <m:r>
            <m:rPr>
              <m:sty m:val="p"/>
            </m:rPr>
            <m:t>≤</m:t>
          </m:r>
          <m:sSub>
            <m:e>
              <m:r>
                <m:t>c</m:t>
              </m:r>
            </m:e>
            <m:sub>
              <m:r>
                <m:t>z</m:t>
              </m:r>
            </m:sub>
          </m:sSub>
          <m:r>
            <m:rPr>
              <m:sty m:val="p"/>
            </m:rPr>
            <m:t>≤</m:t>
          </m:r>
          <m:sSub>
            <m:e>
              <m:r>
                <m:t>z</m:t>
              </m:r>
            </m:e>
            <m:sub>
              <m:r>
                <m:rPr>
                  <m:sty m:val="p"/>
                </m:rPr>
                <m:t>max</m:t>
              </m:r>
            </m:sub>
          </m:sSub>
          <m:r>
            <m:rPr>
              <m:sty m:val="p"/>
            </m:rPr>
            <m:t>}</m:t>
          </m:r>
          <m:r>
            <m:rPr>
              <m:sty m:val="p"/>
            </m:rPr>
            <m:t>.</m:t>
          </m:r>
        </m:oMath>
      </m:oMathPara>
    </w:p>
    <w:p>
      <w:pPr>
        <w:pStyle w:val="FirstParagraph"/>
      </w:pPr>
      <w:r>
        <w:t xml:space="preserve">The agents currently request</w:t>
      </w:r>
      <w:r>
        <w:t xml:space="preserve"> </w:t>
      </w:r>
      <m:oMath>
        <m:sSub>
          <m:e>
            <m:r>
              <m:t>z</m:t>
            </m:r>
          </m:e>
          <m:sub>
            <m:r>
              <m:rPr>
                <m:sty m:val="p"/>
              </m:rPr>
              <m:t>min</m:t>
            </m:r>
          </m:sub>
        </m:sSub>
        <m:r>
          <m:rPr>
            <m:sty m:val="p"/>
          </m:rPr>
          <m:t>=</m:t>
        </m:r>
        <m:r>
          <m:t>0.30</m:t>
        </m:r>
        <m:r>
          <m:t> </m:t>
        </m:r>
        <m:r>
          <m:rPr>
            <m:sty m:val="p"/>
          </m:rPr>
          <m:t>m</m:t>
        </m:r>
      </m:oMath>
      <w:r>
        <w:t xml:space="preserve"> </w:t>
      </w:r>
      <w:r>
        <w:t xml:space="preserve">and</w:t>
      </w:r>
      <w:r>
        <w:t xml:space="preserve"> </w:t>
      </w:r>
      <m:oMath>
        <m:sSub>
          <m:e>
            <m:r>
              <m:t>z</m:t>
            </m:r>
          </m:e>
          <m:sub>
            <m:r>
              <m:rPr>
                <m:sty m:val="p"/>
              </m:rPr>
              <m:t>max</m:t>
            </m:r>
          </m:sub>
        </m:sSub>
        <m:r>
          <m:rPr>
            <m:sty m:val="p"/>
          </m:rPr>
          <m:t>=</m:t>
        </m:r>
        <m:r>
          <m:t>0.65</m:t>
        </m:r>
        <m:r>
          <m:t> </m:t>
        </m:r>
        <m:r>
          <m:rPr>
            <m:sty m:val="p"/>
          </m:rPr>
          <m:t>m</m:t>
        </m:r>
      </m:oMath>
      <w:r>
        <w:t xml:space="preserve">. These values are world-frame heights.</w:t>
      </w:r>
    </w:p>
    <w:bookmarkEnd w:id="26"/>
    <w:bookmarkStart w:id="27" w:name="quantile-bounds"/>
    <w:p>
      <w:pPr>
        <w:pStyle w:val="Heading2"/>
      </w:pPr>
      <w:r>
        <w:rPr>
          <w:rStyle w:val="SectionNumber"/>
        </w:rPr>
        <w:t xml:space="preserve">4.2</w:t>
      </w:r>
      <w:r>
        <w:tab/>
      </w:r>
      <w:r>
        <w:t xml:space="preserve">Quantile bounds</w:t>
      </w:r>
    </w:p>
    <w:p>
      <w:pPr>
        <w:pStyle w:val="FirstParagraph"/>
      </w:pPr>
      <w:r>
        <w:t xml:space="preserve">For each axis</w:t>
      </w:r>
      <w:r>
        <w:t xml:space="preserve"> </w:t>
      </w:r>
      <m:oMath>
        <m:r>
          <m:t>a</m:t>
        </m:r>
        <m:r>
          <m:rPr>
            <m:sty m:val="p"/>
          </m:rPr>
          <m:t>∈</m:t>
        </m:r>
        <m:r>
          <m:rPr>
            <m:sty m:val="p"/>
          </m:rPr>
          <m:t>{</m:t>
        </m:r>
        <m:r>
          <m:t>x</m:t>
        </m:r>
        <m:r>
          <m:rPr>
            <m:sty m:val="p"/>
          </m:rPr>
          <m:t>,</m:t>
        </m:r>
        <m:r>
          <m:t>y</m:t>
        </m:r>
        <m:r>
          <m:rPr>
            <m:sty m:val="p"/>
          </m:rPr>
          <m:t>,</m:t>
        </m:r>
        <m:r>
          <m:t>z</m:t>
        </m:r>
        <m:r>
          <m:rPr>
            <m:sty m:val="p"/>
          </m:rPr>
          <m:t>}</m:t>
        </m:r>
      </m:oMath>
      <w:r>
        <w:t xml:space="preserve">, the lower and upper central bounds are calculated from the height-filtered set:</w:t>
      </w:r>
    </w:p>
    <w:p>
      <w:pPr>
        <w:pStyle w:val="BodyText"/>
      </w:pPr>
      <m:oMathPara>
        <m:oMathParaPr>
          <m:jc m:val="center"/>
        </m:oMathParaPr>
        <m:oMath>
          <m:sSubSup>
            <m:e>
              <m:r>
                <m:t>b</m:t>
              </m:r>
            </m:e>
            <m:sub>
              <m:r>
                <m:t>a</m:t>
              </m:r>
            </m:sub>
            <m:sup>
              <m:r>
                <m:rPr>
                  <m:sty m:val="p"/>
                </m:rPr>
                <m:t>−</m:t>
              </m:r>
            </m:sup>
          </m:sSubSup>
          <m:r>
            <m:rPr>
              <m:sty m:val="p"/>
            </m:rPr>
            <m:t>=</m:t>
          </m:r>
          <m:sSub>
            <m:e>
              <m:r>
                <m:t>Q</m:t>
              </m:r>
            </m:e>
            <m:sub>
              <m:sSub>
                <m:e>
                  <m:r>
                    <m:t>q</m:t>
                  </m:r>
                </m:e>
                <m:sub>
                  <m:r>
                    <m:t>l</m:t>
                  </m:r>
                </m:sub>
              </m:sSub>
            </m:sub>
          </m:sSub>
          <m:d>
            <m:dPr>
              <m:begChr m:val="("/>
              <m:sepChr m:val=""/>
              <m:endChr m:val=")"/>
              <m:grow/>
            </m:dPr>
            <m:e>
              <m:r>
                <m:rPr>
                  <m:sty m:val="p"/>
                </m:rPr>
                <m:t>{</m:t>
              </m:r>
              <m:sSub>
                <m:e>
                  <m:r>
                    <m:t>c</m:t>
                  </m:r>
                </m:e>
                <m:sub>
                  <m:r>
                    <m:t>a</m:t>
                  </m:r>
                </m:sub>
              </m:sSub>
              <m:r>
                <m:rPr>
                  <m:sty m:val="p"/>
                </m:rPr>
                <m:t>∣</m:t>
              </m:r>
              <m:r>
                <m:rPr>
                  <m:sty m:val="b"/>
                </m:rPr>
                <m:t>c</m:t>
              </m:r>
              <m:r>
                <m:rPr>
                  <m:sty m:val="p"/>
                </m:rPr>
                <m:t>∈</m:t>
              </m:r>
              <m:sSub>
                <m:e>
                  <m:r>
                    <m:t>C</m:t>
                  </m:r>
                </m:e>
                <m:sub>
                  <m:r>
                    <m:t>H</m:t>
                  </m:r>
                </m:sub>
              </m:sSub>
              <m:r>
                <m:rPr>
                  <m:sty m:val="p"/>
                </m:rPr>
                <m:t>}</m:t>
              </m:r>
            </m:e>
          </m:d>
          <m:r>
            <m:rPr>
              <m:sty m:val="p"/>
            </m:rPr>
            <m:t>,</m:t>
          </m:r>
          <m:r>
            <m:t>  </m:t>
          </m:r>
          <m:sSubSup>
            <m:e>
              <m:r>
                <m:t>b</m:t>
              </m:r>
            </m:e>
            <m:sub>
              <m:r>
                <m:t>a</m:t>
              </m:r>
            </m:sub>
            <m:sup>
              <m:r>
                <m:rPr>
                  <m:sty m:val="p"/>
                </m:rPr>
                <m:t>+</m:t>
              </m:r>
            </m:sup>
          </m:sSubSup>
          <m:r>
            <m:rPr>
              <m:sty m:val="p"/>
            </m:rPr>
            <m:t>=</m:t>
          </m:r>
          <m:sSub>
            <m:e>
              <m:r>
                <m:t>Q</m:t>
              </m:r>
            </m:e>
            <m:sub>
              <m:sSub>
                <m:e>
                  <m:r>
                    <m:t>q</m:t>
                  </m:r>
                </m:e>
                <m:sub>
                  <m:r>
                    <m:t>u</m:t>
                  </m:r>
                </m:sub>
              </m:sSub>
            </m:sub>
          </m:sSub>
          <m:d>
            <m:dPr>
              <m:begChr m:val="("/>
              <m:sepChr m:val=""/>
              <m:endChr m:val=")"/>
              <m:grow/>
            </m:dPr>
            <m:e>
              <m:r>
                <m:rPr>
                  <m:sty m:val="p"/>
                </m:rPr>
                <m:t>{</m:t>
              </m:r>
              <m:sSub>
                <m:e>
                  <m:r>
                    <m:t>c</m:t>
                  </m:r>
                </m:e>
                <m:sub>
                  <m:r>
                    <m:t>a</m:t>
                  </m:r>
                </m:sub>
              </m:sSub>
              <m:r>
                <m:rPr>
                  <m:sty m:val="p"/>
                </m:rPr>
                <m:t>∣</m:t>
              </m:r>
              <m:r>
                <m:rPr>
                  <m:sty m:val="b"/>
                </m:rPr>
                <m:t>c</m:t>
              </m:r>
              <m:r>
                <m:rPr>
                  <m:sty m:val="p"/>
                </m:rPr>
                <m:t>∈</m:t>
              </m:r>
              <m:sSub>
                <m:e>
                  <m:r>
                    <m:t>C</m:t>
                  </m:r>
                </m:e>
                <m:sub>
                  <m:r>
                    <m:t>H</m:t>
                  </m:r>
                </m:sub>
              </m:sSub>
              <m:r>
                <m:rPr>
                  <m:sty m:val="p"/>
                </m:rPr>
                <m:t>}</m:t>
              </m:r>
            </m:e>
          </m:d>
          <m:r>
            <m:rPr>
              <m:sty m:val="p"/>
            </m:rPr>
            <m:t>.</m:t>
          </m:r>
        </m:oMath>
      </m:oMathPara>
    </w:p>
    <w:p>
      <w:pPr>
        <w:pStyle w:val="FirstParagraph"/>
      </w:pPr>
      <w:r>
        <w:t xml:space="preserve">The current configuration uses</w:t>
      </w:r>
      <w:r>
        <w:t xml:space="preserve"> </w:t>
      </w:r>
      <m:oMath>
        <m:sSub>
          <m:e>
            <m:r>
              <m:t>q</m:t>
            </m:r>
          </m:e>
          <m:sub>
            <m:r>
              <m:t>l</m:t>
            </m:r>
          </m:sub>
        </m:sSub>
        <m:r>
          <m:rPr>
            <m:sty m:val="p"/>
          </m:rPr>
          <m:t>=</m:t>
        </m:r>
        <m:r>
          <m:t>0.20</m:t>
        </m:r>
      </m:oMath>
      <w:r>
        <w:t xml:space="preserve"> </w:t>
      </w:r>
      <w:r>
        <w:t xml:space="preserve">and</w:t>
      </w:r>
      <w:r>
        <w:t xml:space="preserve"> </w:t>
      </w:r>
      <m:oMath>
        <m:sSub>
          <m:e>
            <m:r>
              <m:t>q</m:t>
            </m:r>
          </m:e>
          <m:sub>
            <m:r>
              <m:t>u</m:t>
            </m:r>
          </m:sub>
        </m:sSub>
        <m:r>
          <m:rPr>
            <m:sty m:val="p"/>
          </m:rPr>
          <m:t>=</m:t>
        </m:r>
        <m:r>
          <m:t>0.80</m:t>
        </m:r>
      </m:oMath>
      <w:r>
        <w:t xml:space="preserve">. The bounded central core is</w:t>
      </w:r>
    </w:p>
    <w:p>
      <w:pPr>
        <w:pStyle w:val="BodyText"/>
      </w:pPr>
      <m:oMathPara>
        <m:oMathParaPr>
          <m:jc m:val="center"/>
        </m:oMathParaPr>
        <m:oMath>
          <m:sSub>
            <m:e>
              <m:r>
                <m:t>C</m:t>
              </m:r>
            </m:e>
            <m:sub>
              <m:r>
                <m:rPr>
                  <m:sty m:val="p"/>
                </m:rPr>
                <m:t>c</m:t>
              </m:r>
              <m:r>
                <m:rPr>
                  <m:sty m:val="p"/>
                </m:rPr>
                <m:t>o</m:t>
              </m:r>
              <m:r>
                <m:rPr>
                  <m:sty m:val="p"/>
                </m:rPr>
                <m:t>r</m:t>
              </m:r>
              <m:r>
                <m:rPr>
                  <m:sty m:val="p"/>
                </m:rPr>
                <m:t>e</m:t>
              </m:r>
            </m:sub>
          </m:sSub>
          <m:r>
            <m:rPr>
              <m:sty m:val="p"/>
            </m:rPr>
            <m:t>=</m:t>
          </m:r>
          <m:d>
            <m:dPr>
              <m:begChr m:val="{"/>
              <m:sepChr m:val=""/>
              <m:endChr m:val="}"/>
              <m:grow/>
            </m:dPr>
            <m:e>
              <m:r>
                <m:rPr>
                  <m:sty m:val="b"/>
                </m:rPr>
                <m:t>c</m:t>
              </m:r>
              <m:r>
                <m:rPr>
                  <m:sty m:val="p"/>
                </m:rPr>
                <m:t>∈</m:t>
              </m:r>
              <m:sSub>
                <m:e>
                  <m:r>
                    <m:t>C</m:t>
                  </m:r>
                </m:e>
                <m:sub>
                  <m:r>
                    <m:t>H</m:t>
                  </m:r>
                </m:sub>
              </m:sSub>
              <m:r>
                <m:rPr>
                  <m:sty m:val="p"/>
                </m:rPr>
                <m:t>∣</m:t>
              </m:r>
              <m:sSubSup>
                <m:e>
                  <m:r>
                    <m:t>b</m:t>
                  </m:r>
                </m:e>
                <m:sub>
                  <m:r>
                    <m:t>a</m:t>
                  </m:r>
                </m:sub>
                <m:sup>
                  <m:r>
                    <m:rPr>
                      <m:sty m:val="p"/>
                    </m:rPr>
                    <m:t>−</m:t>
                  </m:r>
                </m:sup>
              </m:sSubSup>
              <m:r>
                <m:rPr>
                  <m:sty m:val="p"/>
                </m:rPr>
                <m:t>≤</m:t>
              </m:r>
              <m:sSub>
                <m:e>
                  <m:r>
                    <m:t>c</m:t>
                  </m:r>
                </m:e>
                <m:sub>
                  <m:r>
                    <m:t>a</m:t>
                  </m:r>
                </m:sub>
              </m:sSub>
              <m:r>
                <m:rPr>
                  <m:sty m:val="p"/>
                </m:rPr>
                <m:t>≤</m:t>
              </m:r>
              <m:sSubSup>
                <m:e>
                  <m:r>
                    <m:t>b</m:t>
                  </m:r>
                </m:e>
                <m:sub>
                  <m:r>
                    <m:t>a</m:t>
                  </m:r>
                </m:sub>
                <m:sup>
                  <m:r>
                    <m:rPr>
                      <m:sty m:val="p"/>
                    </m:rPr>
                    <m:t>+</m:t>
                  </m:r>
                </m:sup>
              </m:sSubSup>
              <m:r>
                <m:t> </m:t>
              </m:r>
              <m:r>
                <m:rPr>
                  <m:nor/>
                  <m:sty m:val="p"/>
                </m:rPr>
                <m:t>for every</m:t>
              </m:r>
              <m:r>
                <m:t> </m:t>
              </m:r>
              <m:r>
                <m:t>a</m:t>
              </m:r>
              <m:r>
                <m:rPr>
                  <m:sty m:val="p"/>
                </m:rPr>
                <m:t>∈</m:t>
              </m:r>
              <m:r>
                <m:rPr>
                  <m:sty m:val="p"/>
                </m:rPr>
                <m:t>{</m:t>
              </m:r>
              <m:r>
                <m:t>x</m:t>
              </m:r>
              <m:r>
                <m:rPr>
                  <m:sty m:val="p"/>
                </m:rPr>
                <m:t>,</m:t>
              </m:r>
              <m:r>
                <m:t>y</m:t>
              </m:r>
              <m:r>
                <m:rPr>
                  <m:sty m:val="p"/>
                </m:rPr>
                <m:t>,</m:t>
              </m:r>
              <m:r>
                <m:t>z</m:t>
              </m:r>
              <m:r>
                <m:rPr>
                  <m:sty m:val="p"/>
                </m:rPr>
                <m:t>}</m:t>
              </m:r>
            </m:e>
          </m:d>
          <m:r>
            <m:rPr>
              <m:sty m:val="p"/>
            </m:rPr>
            <m:t>.</m:t>
          </m:r>
        </m:oMath>
      </m:oMathPara>
    </w:p>
    <w:p>
      <w:pPr>
        <w:pStyle w:val="FirstParagraph"/>
      </w:pPr>
      <w:r>
        <w:t xml:space="preserve">This removes the outer 20 percent on both sides of every coordinate distribution. It is more robust than taking the center of an axis-aligned bounding box because isolated extreme voxels do not determine the central region.</w:t>
      </w:r>
    </w:p>
    <w:p>
      <w:pPr>
        <w:pStyle w:val="BodyText"/>
      </w:pPr>
      <w:r>
        <w:t xml:space="preserve">If this filtering leaves fewer than the configured minimum of 10 candidates, the method falls back to</w:t>
      </w:r>
      <w:r>
        <w:t xml:space="preserve"> </w:t>
      </w:r>
      <m:oMath>
        <m:sSub>
          <m:e>
            <m:r>
              <m:t>C</m:t>
            </m:r>
          </m:e>
          <m:sub>
            <m:r>
              <m:t>H</m:t>
            </m:r>
          </m:sub>
        </m:sSub>
      </m:oMath>
      <w:r>
        <w:t xml:space="preserve">. This prevents an overly aggressive bound from eliminating a small but valid interaction region.</w:t>
      </w:r>
    </w:p>
    <w:bookmarkEnd w:id="27"/>
    <w:bookmarkStart w:id="28" w:name="approximate-center"/>
    <w:p>
      <w:pPr>
        <w:pStyle w:val="Heading2"/>
      </w:pPr>
      <w:r>
        <w:rPr>
          <w:rStyle w:val="SectionNumber"/>
        </w:rPr>
        <w:t xml:space="preserve">4.3</w:t>
      </w:r>
      <w:r>
        <w:tab/>
      </w:r>
      <w:r>
        <w:t xml:space="preserve">Approximate center</w:t>
      </w:r>
    </w:p>
    <w:p>
      <w:pPr>
        <w:pStyle w:val="FirstParagraph"/>
      </w:pPr>
      <w:r>
        <w:t xml:space="preserve">The center used for ranking is the centroid of the bounded core:</w:t>
      </w:r>
    </w:p>
    <w:p>
      <w:pPr>
        <w:pStyle w:val="BodyText"/>
      </w:pPr>
      <m:oMathPara>
        <m:oMathParaPr>
          <m:jc m:val="center"/>
        </m:oMathParaPr>
        <m:oMath>
          <m:r>
            <m:rPr>
              <m:sty m:val="b"/>
            </m:rPr>
            <m:t>μ</m:t>
          </m:r>
          <m:r>
            <m:rPr>
              <m:sty m:val="p"/>
            </m:rPr>
            <m:t>=</m:t>
          </m:r>
          <m:f>
            <m:fPr>
              <m:type m:val="bar"/>
            </m:fPr>
            <m:num>
              <m:r>
                <m:t>1</m:t>
              </m:r>
            </m:num>
            <m:den>
              <m:d>
                <m:dPr>
                  <m:begChr m:val="|"/>
                  <m:sepChr m:val=""/>
                  <m:endChr m:val="|"/>
                  <m:grow/>
                </m:dPr>
                <m:e>
                  <m:sSub>
                    <m:e>
                      <m:r>
                        <m:t>C</m:t>
                      </m:r>
                    </m:e>
                    <m:sub>
                      <m:r>
                        <m:rPr>
                          <m:sty m:val="p"/>
                        </m:rPr>
                        <m:t>c</m:t>
                      </m:r>
                      <m:r>
                        <m:rPr>
                          <m:sty m:val="p"/>
                        </m:rPr>
                        <m:t>o</m:t>
                      </m:r>
                      <m:r>
                        <m:rPr>
                          <m:sty m:val="p"/>
                        </m:rPr>
                        <m:t>r</m:t>
                      </m:r>
                      <m:r>
                        <m:rPr>
                          <m:sty m:val="p"/>
                        </m:rPr>
                        <m:t>e</m:t>
                      </m:r>
                    </m:sub>
                  </m:sSub>
                </m:e>
              </m:d>
            </m:den>
          </m:f>
          <m:nary>
            <m:naryPr>
              <m:chr m:val="∑"/>
              <m:limLoc m:val="undOvr"/>
              <m:subHide m:val="off"/>
              <m:supHide m:val="on"/>
            </m:naryPr>
            <m:sub>
              <m:r>
                <m:rPr>
                  <m:sty m:val="b"/>
                </m:rPr>
                <m:t>c</m:t>
              </m:r>
              <m:r>
                <m:rPr>
                  <m:sty m:val="p"/>
                </m:rPr>
                <m:t>∈</m:t>
              </m:r>
              <m:sSub>
                <m:e>
                  <m:r>
                    <m:t>C</m:t>
                  </m:r>
                </m:e>
                <m:sub>
                  <m:r>
                    <m:rPr>
                      <m:sty m:val="p"/>
                    </m:rPr>
                    <m:t>c</m:t>
                  </m:r>
                  <m:r>
                    <m:rPr>
                      <m:sty m:val="p"/>
                    </m:rPr>
                    <m:t>o</m:t>
                  </m:r>
                  <m:r>
                    <m:rPr>
                      <m:sty m:val="p"/>
                    </m:rPr>
                    <m:t>r</m:t>
                  </m:r>
                  <m:r>
                    <m:rPr>
                      <m:sty m:val="p"/>
                    </m:rPr>
                    <m:t>e</m:t>
                  </m:r>
                </m:sub>
              </m:sSub>
            </m:sub>
            <m:sup>
              <m:r>
                <m:t>​</m:t>
              </m:r>
            </m:sup>
            <m:e>
              <m:r>
                <m:rPr>
                  <m:sty m:val="b"/>
                </m:rPr>
                <m:t>c</m:t>
              </m:r>
            </m:e>
          </m:nary>
          <m:r>
            <m:rPr>
              <m:sty m:val="p"/>
            </m:rPr>
            <m:t>.</m:t>
          </m:r>
        </m:oMath>
      </m:oMathPara>
    </w:p>
    <w:p>
      <w:pPr>
        <w:pStyle w:val="FirstParagraph"/>
      </w:pPr>
      <w:r>
        <w:t xml:space="preserve">This centroid is an approximation of the geometric center of the feasible overlap. It is not automatically selected as the handover point because the exact centroid may not coincide with an occupied, mutually reachable voxel. Instead, actual voxels near this center are ranked.</w:t>
      </w:r>
    </w:p>
    <w:bookmarkEnd w:id="28"/>
    <w:bookmarkEnd w:id="29"/>
    <w:bookmarkStart w:id="33" w:name="candidate-quality-features"/>
    <w:p>
      <w:pPr>
        <w:pStyle w:val="Heading1"/>
      </w:pPr>
      <w:r>
        <w:rPr>
          <w:rStyle w:val="SectionNumber"/>
        </w:rPr>
        <w:t xml:space="preserve">5</w:t>
      </w:r>
      <w:r>
        <w:tab/>
      </w:r>
      <w:r>
        <w:t xml:space="preserve">Candidate quality features</w:t>
      </w:r>
    </w:p>
    <w:p>
      <w:pPr>
        <w:pStyle w:val="FirstParagraph"/>
      </w:pPr>
      <w:r>
        <w:t xml:space="preserve">For every candidate</w:t>
      </w:r>
      <w:r>
        <w:t xml:space="preserve"> </w:t>
      </w:r>
      <m:oMath>
        <m:sSub>
          <m:e>
            <m:r>
              <m:rPr>
                <m:sty m:val="b"/>
              </m:rPr>
              <m:t>c</m:t>
            </m:r>
          </m:e>
          <m:sub>
            <m:r>
              <m:t>i</m:t>
            </m:r>
          </m:sub>
        </m:sSub>
        <m:r>
          <m:rPr>
            <m:sty m:val="p"/>
          </m:rPr>
          <m:t>∈</m:t>
        </m:r>
        <m:sSub>
          <m:e>
            <m:r>
              <m:t>C</m:t>
            </m:r>
          </m:e>
          <m:sub>
            <m:r>
              <m:rPr>
                <m:sty m:val="p"/>
              </m:rPr>
              <m:t>c</m:t>
            </m:r>
            <m:r>
              <m:rPr>
                <m:sty m:val="p"/>
              </m:rPr>
              <m:t>o</m:t>
            </m:r>
            <m:r>
              <m:rPr>
                <m:sty m:val="p"/>
              </m:rPr>
              <m:t>r</m:t>
            </m:r>
            <m:r>
              <m:rPr>
                <m:sty m:val="p"/>
              </m:rPr>
              <m:t>e</m:t>
            </m:r>
          </m:sub>
        </m:sSub>
      </m:oMath>
      <w:r>
        <w:t xml:space="preserve">, four normalized features in</w:t>
      </w:r>
      <w:r>
        <w:t xml:space="preserve"> </w:t>
      </w:r>
      <m:oMath>
        <m:d>
          <m:dPr>
            <m:begChr m:val="["/>
            <m:sepChr m:val=""/>
            <m:endChr m:val="]"/>
            <m:grow/>
          </m:dPr>
          <m:e>
            <m:r>
              <m:t>0</m:t>
            </m:r>
            <m:r>
              <m:rPr>
                <m:sty m:val="p"/>
              </m:rPr>
              <m:t>,</m:t>
            </m:r>
            <m:r>
              <m:t>1</m:t>
            </m:r>
          </m:e>
        </m:d>
      </m:oMath>
      <w:r>
        <w:t xml:space="preserve"> </w:t>
      </w:r>
      <w:r>
        <w:t xml:space="preserve">are calculated.</w:t>
      </w:r>
    </w:p>
    <w:bookmarkStart w:id="30" w:name="centrality"/>
    <w:p>
      <w:pPr>
        <w:pStyle w:val="Heading2"/>
      </w:pPr>
      <w:r>
        <w:rPr>
          <w:rStyle w:val="SectionNumber"/>
        </w:rPr>
        <w:t xml:space="preserve">5.1</w:t>
      </w:r>
      <w:r>
        <w:tab/>
      </w:r>
      <w:r>
        <w:t xml:space="preserve">Centrality</w:t>
      </w:r>
    </w:p>
    <w:p>
      <w:pPr>
        <w:pStyle w:val="FirstParagraph"/>
      </w:pPr>
      <w:r>
        <w:t xml:space="preserve">Let</w:t>
      </w:r>
    </w:p>
    <w:p>
      <w:pPr>
        <w:pStyle w:val="BodyText"/>
      </w:pPr>
      <m:oMathPara>
        <m:oMathParaPr>
          <m:jc m:val="center"/>
        </m:oMathParaPr>
        <m:oMath>
          <m:sSub>
            <m:e>
              <m:r>
                <m:t>d</m:t>
              </m:r>
            </m:e>
            <m:sub>
              <m:r>
                <m:t>i</m:t>
              </m:r>
            </m:sub>
          </m:sSub>
          <m:r>
            <m:rPr>
              <m:sty m:val="p"/>
            </m:rPr>
            <m:t>=</m:t>
          </m:r>
          <m:sSub>
            <m:e>
              <m:d>
                <m:dPr>
                  <m:begChr m:val="‖"/>
                  <m:sepChr m:val=""/>
                  <m:endChr m:val="‖"/>
                  <m:grow/>
                </m:dPr>
                <m:e>
                  <m:sSub>
                    <m:e>
                      <m:r>
                        <m:rPr>
                          <m:sty m:val="b"/>
                        </m:rPr>
                        <m:t>c</m:t>
                      </m:r>
                    </m:e>
                    <m:sub>
                      <m:r>
                        <m:t>i</m:t>
                      </m:r>
                    </m:sub>
                  </m:sSub>
                  <m:r>
                    <m:rPr>
                      <m:sty m:val="p"/>
                    </m:rPr>
                    <m:t>−</m:t>
                  </m:r>
                  <m:r>
                    <m:rPr>
                      <m:sty m:val="b"/>
                    </m:rPr>
                    <m:t>μ</m:t>
                  </m:r>
                </m:e>
              </m:d>
            </m:e>
            <m:sub>
              <m:r>
                <m:t>2</m:t>
              </m:r>
            </m:sub>
          </m:sSub>
          <m:r>
            <m:rPr>
              <m:sty m:val="p"/>
            </m:rPr>
            <m:t>,</m:t>
          </m:r>
          <m:r>
            <m:t>  </m:t>
          </m:r>
          <m:sSub>
            <m:e>
              <m:r>
                <m:t>d</m:t>
              </m:r>
            </m:e>
            <m:sub>
              <m:r>
                <m:rPr>
                  <m:sty m:val="p"/>
                </m:rPr>
                <m:t>max</m:t>
              </m:r>
            </m:sub>
          </m:sSub>
          <m:r>
            <m:rPr>
              <m:sty m:val="p"/>
            </m:rPr>
            <m:t>=</m:t>
          </m:r>
          <m:limLow>
            <m:e>
              <m:r>
                <m:rPr>
                  <m:sty m:val="p"/>
                </m:rPr>
                <m:t>max</m:t>
              </m:r>
            </m:e>
            <m:lim>
              <m:r>
                <m:t>j</m:t>
              </m:r>
            </m:lim>
          </m:limLow>
          <m:sSub>
            <m:e>
              <m:r>
                <m:t>d</m:t>
              </m:r>
            </m:e>
            <m:sub>
              <m:r>
                <m:t>j</m:t>
              </m:r>
            </m:sub>
          </m:sSub>
          <m:r>
            <m:rPr>
              <m:sty m:val="p"/>
            </m:rPr>
            <m:t>.</m:t>
          </m:r>
        </m:oMath>
      </m:oMathPara>
    </w:p>
    <w:p>
      <w:pPr>
        <w:pStyle w:val="FirstParagraph"/>
      </w:pPr>
      <w:r>
        <w:t xml:space="preserve">Then</w:t>
      </w:r>
    </w:p>
    <w:p>
      <w:pPr>
        <w:pStyle w:val="BodyText"/>
      </w:pPr>
      <m:oMathPara>
        <m:oMathParaPr>
          <m:jc m:val="center"/>
        </m:oMathParaPr>
        <m:oMath>
          <m:sSub>
            <m:e>
              <m:r>
                <m:rPr>
                  <m:sty m:val="p"/>
                </m:rPr>
                <m:t>c</m:t>
              </m:r>
              <m:r>
                <m:rPr>
                  <m:sty m:val="p"/>
                </m:rPr>
                <m:t>e</m:t>
              </m:r>
              <m:r>
                <m:rPr>
                  <m:sty m:val="p"/>
                </m:rPr>
                <m:t>n</m:t>
              </m:r>
              <m:r>
                <m:rPr>
                  <m:sty m:val="p"/>
                </m:rPr>
                <m:t>t</m:t>
              </m:r>
              <m:r>
                <m:rPr>
                  <m:sty m:val="p"/>
                </m:rPr>
                <m:t>r</m:t>
              </m:r>
              <m:r>
                <m:rPr>
                  <m:sty m:val="p"/>
                </m:rPr>
                <m:t>a</m:t>
              </m:r>
              <m:r>
                <m:rPr>
                  <m:sty m:val="p"/>
                </m:rPr>
                <m:t>l</m:t>
              </m:r>
              <m:r>
                <m:rPr>
                  <m:sty m:val="p"/>
                </m:rPr>
                <m:t>i</m:t>
              </m:r>
              <m:r>
                <m:rPr>
                  <m:sty m:val="p"/>
                </m:rPr>
                <m:t>t</m:t>
              </m:r>
              <m:r>
                <m:rPr>
                  <m:sty m:val="p"/>
                </m:rPr>
                <m:t>y</m:t>
              </m:r>
            </m:e>
            <m:sub>
              <m:r>
                <m:t>i</m:t>
              </m:r>
            </m:sub>
          </m:sSub>
          <m:r>
            <m:rPr>
              <m:sty m:val="p"/>
            </m:rPr>
            <m:t>=</m:t>
          </m:r>
          <m:r>
            <m:rPr>
              <m:sty m:val="p"/>
            </m:rPr>
            <m:t>max</m:t>
          </m:r>
          <m:d>
            <m:dPr>
              <m:begChr m:val="("/>
              <m:sepChr m:val=""/>
              <m:endChr m:val=")"/>
              <m:grow/>
            </m:dPr>
            <m:e>
              <m:r>
                <m:t>0</m:t>
              </m:r>
              <m:r>
                <m:rPr>
                  <m:sty m:val="p"/>
                </m:rPr>
                <m:t>,</m:t>
              </m:r>
              <m:r>
                <m:t>1</m:t>
              </m:r>
              <m:r>
                <m:rPr>
                  <m:sty m:val="p"/>
                </m:rPr>
                <m:t>−</m:t>
              </m:r>
              <m:f>
                <m:fPr>
                  <m:type m:val="bar"/>
                </m:fPr>
                <m:num>
                  <m:sSub>
                    <m:e>
                      <m:r>
                        <m:t>d</m:t>
                      </m:r>
                    </m:e>
                    <m:sub>
                      <m:r>
                        <m:t>i</m:t>
                      </m:r>
                    </m:sub>
                  </m:sSub>
                </m:num>
                <m:den>
                  <m:r>
                    <m:rPr>
                      <m:sty m:val="p"/>
                    </m:rPr>
                    <m:t>max</m:t>
                  </m:r>
                  <m:d>
                    <m:dPr>
                      <m:begChr m:val="("/>
                      <m:sepChr m:val=""/>
                      <m:endChr m:val=")"/>
                      <m:grow/>
                    </m:dPr>
                    <m:e>
                      <m:sSub>
                        <m:e>
                          <m:r>
                            <m:t>d</m:t>
                          </m:r>
                        </m:e>
                        <m:sub>
                          <m:r>
                            <m:rPr>
                              <m:sty m:val="p"/>
                            </m:rPr>
                            <m:t>max</m:t>
                          </m:r>
                        </m:sub>
                      </m:sSub>
                      <m:r>
                        <m:rPr>
                          <m:sty m:val="p"/>
                        </m:rPr>
                        <m:t>,</m:t>
                      </m:r>
                      <m:r>
                        <m:t>ε</m:t>
                      </m:r>
                    </m:e>
                  </m:d>
                </m:den>
              </m:f>
            </m:e>
          </m:d>
          <m:r>
            <m:rPr>
              <m:sty m:val="p"/>
            </m:rPr>
            <m:t>.</m:t>
          </m:r>
        </m:oMath>
      </m:oMathPara>
    </w:p>
    <w:p>
      <w:pPr>
        <w:pStyle w:val="FirstParagraph"/>
      </w:pPr>
      <w:r>
        <w:t xml:space="preserve">A candidate at the centroid approaches 1; a candidate at the most distant part of the bounded core approaches 0.</w:t>
      </w:r>
    </w:p>
    <w:bookmarkEnd w:id="30"/>
    <w:bookmarkStart w:id="31" w:name="local-voxel-density"/>
    <w:p>
      <w:pPr>
        <w:pStyle w:val="Heading2"/>
      </w:pPr>
      <w:r>
        <w:rPr>
          <w:rStyle w:val="SectionNumber"/>
        </w:rPr>
        <w:t xml:space="preserve">5.2</w:t>
      </w:r>
      <w:r>
        <w:tab/>
      </w:r>
      <w:r>
        <w:t xml:space="preserve">Local voxel density</w:t>
      </w:r>
    </w:p>
    <w:p>
      <w:pPr>
        <w:pStyle w:val="FirstParagraph"/>
      </w:pPr>
      <w:r>
        <w:t xml:space="preserve">The density neighborhood radius is</w:t>
      </w:r>
    </w:p>
    <w:p>
      <w:pPr>
        <w:pStyle w:val="BodyText"/>
      </w:pPr>
      <m:oMathPara>
        <m:oMathParaPr>
          <m:jc m:val="center"/>
        </m:oMathParaPr>
        <m:oMath>
          <m:sSub>
            <m:e>
              <m:r>
                <m:t>r</m:t>
              </m:r>
            </m:e>
            <m:sub>
              <m:r>
                <m:t>d</m:t>
              </m:r>
            </m:sub>
          </m:sSub>
          <m:r>
            <m:rPr>
              <m:sty m:val="p"/>
            </m:rPr>
            <m:t>=</m:t>
          </m:r>
          <m:r>
            <m:t>2.5</m:t>
          </m:r>
          <m:r>
            <m:t>h</m:t>
          </m:r>
          <m:r>
            <m:rPr>
              <m:sty m:val="p"/>
            </m:rPr>
            <m:t>.</m:t>
          </m:r>
        </m:oMath>
      </m:oMathPara>
    </w:p>
    <w:p>
      <w:pPr>
        <w:pStyle w:val="FirstParagraph"/>
      </w:pPr>
      <w:r>
        <w:t xml:space="preserve">The raw density is the number of core voxels within that radius:</w:t>
      </w:r>
    </w:p>
    <w:p>
      <w:pPr>
        <w:pStyle w:val="BodyText"/>
      </w:pPr>
      <m:oMathPara>
        <m:oMathParaPr>
          <m:jc m:val="center"/>
        </m:oMathParaPr>
        <m:oMath>
          <m:sSub>
            <m:e>
              <m:r>
                <m:t>n</m:t>
              </m:r>
            </m:e>
            <m:sub>
              <m:r>
                <m:t>i</m:t>
              </m:r>
            </m:sub>
          </m:sSub>
          <m:r>
            <m:rPr>
              <m:sty m:val="p"/>
            </m:rPr>
            <m:t>=</m:t>
          </m:r>
          <m:d>
            <m:dPr>
              <m:begChr m:val="|"/>
              <m:sepChr m:val=""/>
              <m:endChr m:val="|"/>
              <m:grow/>
            </m:dPr>
            <m:e>
              <m:d>
                <m:dPr>
                  <m:begChr m:val="{"/>
                  <m:sepChr m:val=""/>
                  <m:endChr m:val="}"/>
                  <m:grow/>
                </m:dPr>
                <m:e>
                  <m:sSub>
                    <m:e>
                      <m:r>
                        <m:rPr>
                          <m:sty m:val="b"/>
                        </m:rPr>
                        <m:t>c</m:t>
                      </m:r>
                    </m:e>
                    <m:sub>
                      <m:r>
                        <m:t>j</m:t>
                      </m:r>
                    </m:sub>
                  </m:sSub>
                  <m:r>
                    <m:rPr>
                      <m:sty m:val="p"/>
                    </m:rPr>
                    <m:t>∈</m:t>
                  </m:r>
                  <m:sSub>
                    <m:e>
                      <m:r>
                        <m:t>C</m:t>
                      </m:r>
                    </m:e>
                    <m:sub>
                      <m:r>
                        <m:rPr>
                          <m:sty m:val="p"/>
                        </m:rPr>
                        <m:t>c</m:t>
                      </m:r>
                      <m:r>
                        <m:rPr>
                          <m:sty m:val="p"/>
                        </m:rPr>
                        <m:t>o</m:t>
                      </m:r>
                      <m:r>
                        <m:rPr>
                          <m:sty m:val="p"/>
                        </m:rPr>
                        <m:t>r</m:t>
                      </m:r>
                      <m:r>
                        <m:rPr>
                          <m:sty m:val="p"/>
                        </m:rPr>
                        <m:t>e</m:t>
                      </m:r>
                    </m:sub>
                  </m:sSub>
                  <m:r>
                    <m:t>m</m:t>
                  </m:r>
                  <m:r>
                    <m:t>i</m:t>
                  </m:r>
                  <m:r>
                    <m:t>d</m:t>
                  </m:r>
                  <m:sSub>
                    <m:e>
                      <m:d>
                        <m:dPr>
                          <m:begChr m:val="‖"/>
                          <m:sepChr m:val=""/>
                          <m:endChr m:val="‖"/>
                          <m:grow/>
                        </m:dPr>
                        <m:e>
                          <m:sSub>
                            <m:e>
                              <m:r>
                                <m:rPr>
                                  <m:sty m:val="b"/>
                                </m:rPr>
                                <m:t>c</m:t>
                              </m:r>
                            </m:e>
                            <m:sub>
                              <m:r>
                                <m:t>j</m:t>
                              </m:r>
                            </m:sub>
                          </m:sSub>
                          <m:r>
                            <m:rPr>
                              <m:sty m:val="p"/>
                            </m:rPr>
                            <m:t>−</m:t>
                          </m:r>
                          <m:sSub>
                            <m:e>
                              <m:r>
                                <m:rPr>
                                  <m:sty m:val="b"/>
                                </m:rPr>
                                <m:t>c</m:t>
                              </m:r>
                            </m:e>
                            <m:sub>
                              <m:r>
                                <m:t>i</m:t>
                              </m:r>
                            </m:sub>
                          </m:sSub>
                        </m:e>
                      </m:d>
                    </m:e>
                    <m:sub>
                      <m:r>
                        <m:t>2</m:t>
                      </m:r>
                    </m:sub>
                  </m:sSub>
                  <m:r>
                    <m:rPr>
                      <m:sty m:val="p"/>
                    </m:rPr>
                    <m:t>≤</m:t>
                  </m:r>
                  <m:sSub>
                    <m:e>
                      <m:r>
                        <m:t>r</m:t>
                      </m:r>
                    </m:e>
                    <m:sub>
                      <m:r>
                        <m:t>d</m:t>
                      </m:r>
                    </m:sub>
                  </m:sSub>
                </m:e>
              </m:d>
            </m:e>
          </m:d>
          <m:r>
            <m:rPr>
              <m:sty m:val="p"/>
            </m:rPr>
            <m:t>.</m:t>
          </m:r>
        </m:oMath>
      </m:oMathPara>
    </w:p>
    <w:p>
      <w:pPr>
        <w:pStyle w:val="FirstParagraph"/>
      </w:pPr>
      <w:r>
        <w:t xml:space="preserve">It is normalized by the maximum observed density:</w:t>
      </w:r>
    </w:p>
    <w:p>
      <w:pPr>
        <w:pStyle w:val="BodyText"/>
      </w:pPr>
      <m:oMathPara>
        <m:oMathParaPr>
          <m:jc m:val="center"/>
        </m:oMathParaPr>
        <m:oMath>
          <m:sSub>
            <m:e>
              <m:r>
                <m:rPr>
                  <m:sty m:val="p"/>
                </m:rPr>
                <m:t>d</m:t>
              </m:r>
              <m:r>
                <m:rPr>
                  <m:sty m:val="p"/>
                </m:rPr>
                <m:t>e</m:t>
              </m:r>
              <m:r>
                <m:rPr>
                  <m:sty m:val="p"/>
                </m:rPr>
                <m:t>n</m:t>
              </m:r>
              <m:r>
                <m:rPr>
                  <m:sty m:val="p"/>
                </m:rPr>
                <m:t>s</m:t>
              </m:r>
              <m:r>
                <m:rPr>
                  <m:sty m:val="p"/>
                </m:rPr>
                <m:t>i</m:t>
              </m:r>
              <m:r>
                <m:rPr>
                  <m:sty m:val="p"/>
                </m:rPr>
                <m:t>t</m:t>
              </m:r>
              <m:r>
                <m:rPr>
                  <m:sty m:val="p"/>
                </m:rPr>
                <m:t>y</m:t>
              </m:r>
            </m:e>
            <m:sub>
              <m:r>
                <m:t>i</m:t>
              </m:r>
            </m:sub>
          </m:sSub>
          <m:r>
            <m:rPr>
              <m:sty m:val="p"/>
            </m:rPr>
            <m:t>=</m:t>
          </m:r>
          <m:f>
            <m:fPr>
              <m:type m:val="bar"/>
            </m:fPr>
            <m:num>
              <m:sSub>
                <m:e>
                  <m:r>
                    <m:t>n</m:t>
                  </m:r>
                </m:e>
                <m:sub>
                  <m:r>
                    <m:t>i</m:t>
                  </m:r>
                </m:sub>
              </m:sSub>
            </m:num>
            <m:den>
              <m:limLow>
                <m:e>
                  <m:r>
                    <m:rPr>
                      <m:sty m:val="p"/>
                    </m:rPr>
                    <m:t>max</m:t>
                  </m:r>
                </m:e>
                <m:lim>
                  <m:r>
                    <m:t>j</m:t>
                  </m:r>
                </m:lim>
              </m:limLow>
              <m:sSub>
                <m:e>
                  <m:r>
                    <m:t>n</m:t>
                  </m:r>
                </m:e>
                <m:sub>
                  <m:r>
                    <m:t>j</m:t>
                  </m:r>
                </m:sub>
              </m:sSub>
            </m:den>
          </m:f>
          <m:r>
            <m:rPr>
              <m:sty m:val="p"/>
            </m:rPr>
            <m:t>.</m:t>
          </m:r>
        </m:oMath>
      </m:oMathPara>
    </w:p>
    <w:p>
      <w:pPr>
        <w:pStyle w:val="FirstParagraph"/>
      </w:pPr>
      <w:r>
        <w:t xml:space="preserve">Density favors points surrounded by many alternative shared voxels and avoids narrow protrusions in the overlap.</w:t>
      </w:r>
    </w:p>
    <w:bookmarkEnd w:id="31"/>
    <w:bookmarkStart w:id="32" w:name="robot-specific-reachability-support"/>
    <w:p>
      <w:pPr>
        <w:pStyle w:val="Heading2"/>
      </w:pPr>
      <w:r>
        <w:rPr>
          <w:rStyle w:val="SectionNumber"/>
        </w:rPr>
        <w:t xml:space="preserve">5.3</w:t>
      </w:r>
      <w:r>
        <w:tab/>
      </w:r>
      <w:r>
        <w:t xml:space="preserve">Robot-specific reachability support</w:t>
      </w:r>
    </w:p>
    <w:p>
      <w:pPr>
        <w:pStyle w:val="FirstParagraph"/>
      </w:pPr>
      <w:r>
        <w:t xml:space="preserve">The cube candidate is converted into a TCP target for each robot. If</w:t>
      </w:r>
      <w:r>
        <w:t xml:space="preserve"> </w:t>
      </w:r>
      <m:oMath>
        <m:sSubSup>
          <m:e>
            <m:r>
              <m:rPr>
                <m:sty m:val="b"/>
              </m:rPr>
              <m:t>o</m:t>
            </m:r>
          </m:e>
          <m:sub>
            <m:r>
              <m:t>J</m:t>
            </m:r>
            <m:r>
              <m:rPr>
                <m:sty m:val="p"/>
              </m:rPr>
              <m:t>,</m:t>
            </m:r>
            <m:r>
              <m:t>r</m:t>
            </m:r>
          </m:sub>
          <m:sup>
            <m:r>
              <m:t>L</m:t>
            </m:r>
          </m:sup>
        </m:sSubSup>
      </m:oMath>
      <w:r>
        <w:t xml:space="preserve"> </w:t>
      </w:r>
      <w:r>
        <w:t xml:space="preserve">is robot</w:t>
      </w:r>
      <w:r>
        <w:t xml:space="preserve"> </w:t>
      </w:r>
      <m:oMath>
        <m:r>
          <m:t>r</m:t>
        </m:r>
      </m:oMath>
      <w:r>
        <w:t xml:space="preserve">’s jaw-center offset, then</w:t>
      </w:r>
    </w:p>
    <w:p>
      <w:pPr>
        <w:pStyle w:val="BodyText"/>
      </w:pPr>
      <m:oMathPara>
        <m:oMathParaPr>
          <m:jc m:val="center"/>
        </m:oMathParaPr>
        <m:oMath>
          <m:sSubSup>
            <m:e>
              <m:r>
                <m:rPr>
                  <m:sty m:val="b"/>
                </m:rPr>
                <m:t>o</m:t>
              </m:r>
            </m:e>
            <m:sub>
              <m:r>
                <m:t>J</m:t>
              </m:r>
              <m:r>
                <m:rPr>
                  <m:sty m:val="p"/>
                </m:rPr>
                <m:t>,</m:t>
              </m:r>
              <m:r>
                <m:t>r</m:t>
              </m:r>
            </m:sub>
            <m:sup>
              <m:r>
                <m:t>W</m:t>
              </m:r>
            </m:sup>
          </m:sSubSup>
          <m:r>
            <m:rPr>
              <m:sty m:val="p"/>
            </m:rPr>
            <m:t>=</m:t>
          </m:r>
          <m:sSub>
            <m:e>
              <m:r>
                <m:t>R</m:t>
              </m:r>
            </m:e>
            <m:sub>
              <m:r>
                <m:t>r</m:t>
              </m:r>
            </m:sub>
          </m:sSub>
          <m:sSubSup>
            <m:e>
              <m:r>
                <m:rPr>
                  <m:sty m:val="b"/>
                </m:rPr>
                <m:t>o</m:t>
              </m:r>
            </m:e>
            <m:sub>
              <m:r>
                <m:t>J</m:t>
              </m:r>
              <m:r>
                <m:rPr>
                  <m:sty m:val="p"/>
                </m:rPr>
                <m:t>,</m:t>
              </m:r>
              <m:r>
                <m:t>r</m:t>
              </m:r>
            </m:sub>
            <m:sup>
              <m:r>
                <m:t>L</m:t>
              </m:r>
            </m:sup>
          </m:sSubSup>
          <m:r>
            <m:rPr>
              <m:sty m:val="p"/>
            </m:rPr>
            <m:t>,</m:t>
          </m:r>
        </m:oMath>
      </m:oMathPara>
    </w:p>
    <w:p>
      <w:pPr>
        <w:pStyle w:val="FirstParagraph"/>
      </w:pPr>
      <m:oMathPara>
        <m:oMathParaPr>
          <m:jc m:val="center"/>
        </m:oMathParaPr>
        <m:oMath>
          <m:sSubSup>
            <m:e>
              <m:r>
                <m:rPr>
                  <m:sty m:val="b"/>
                </m:rPr>
                <m:t>p</m:t>
              </m:r>
            </m:e>
            <m:sub>
              <m:r>
                <m:rPr>
                  <m:sty m:val="p"/>
                </m:rPr>
                <m:t>T</m:t>
              </m:r>
              <m:r>
                <m:rPr>
                  <m:sty m:val="p"/>
                </m:rPr>
                <m:t>C</m:t>
              </m:r>
              <m:r>
                <m:rPr>
                  <m:sty m:val="p"/>
                </m:rPr>
                <m:t>P</m:t>
              </m:r>
              <m:r>
                <m:rPr>
                  <m:sty m:val="p"/>
                </m:rPr>
                <m:t>,</m:t>
              </m:r>
              <m:r>
                <m:t>r</m:t>
              </m:r>
            </m:sub>
            <m:sup>
              <m:r>
                <m:t>W</m:t>
              </m:r>
            </m:sup>
          </m:sSubSup>
          <m:r>
            <m:rPr>
              <m:sty m:val="p"/>
            </m:rPr>
            <m:t>=</m:t>
          </m:r>
          <m:sSub>
            <m:e>
              <m:r>
                <m:rPr>
                  <m:sty m:val="b"/>
                </m:rPr>
                <m:t>c</m:t>
              </m:r>
            </m:e>
            <m:sub>
              <m:r>
                <m:t>i</m:t>
              </m:r>
            </m:sub>
          </m:sSub>
          <m:r>
            <m:rPr>
              <m:sty m:val="p"/>
            </m:rPr>
            <m:t>−</m:t>
          </m:r>
          <m:sSubSup>
            <m:e>
              <m:r>
                <m:rPr>
                  <m:sty m:val="b"/>
                </m:rPr>
                <m:t>o</m:t>
              </m:r>
            </m:e>
            <m:sub>
              <m:r>
                <m:t>J</m:t>
              </m:r>
              <m:r>
                <m:rPr>
                  <m:sty m:val="p"/>
                </m:rPr>
                <m:t>,</m:t>
              </m:r>
              <m:r>
                <m:t>r</m:t>
              </m:r>
            </m:sub>
            <m:sup>
              <m:r>
                <m:t>W</m:t>
              </m:r>
            </m:sup>
          </m:sSubSup>
          <m:r>
            <m:rPr>
              <m:sty m:val="p"/>
            </m:rPr>
            <m:t>,</m:t>
          </m:r>
        </m:oMath>
      </m:oMathPara>
    </w:p>
    <w:p>
      <w:pPr>
        <w:pStyle w:val="FirstParagraph"/>
      </w:pPr>
      <m:oMathPara>
        <m:oMathParaPr>
          <m:jc m:val="center"/>
        </m:oMathParaPr>
        <m:oMath>
          <m:sSubSup>
            <m:e>
              <m:r>
                <m:rPr>
                  <m:sty m:val="b"/>
                </m:rPr>
                <m:t>p</m:t>
              </m:r>
            </m:e>
            <m:sub>
              <m:r>
                <m:rPr>
                  <m:sty m:val="p"/>
                </m:rPr>
                <m:t>T</m:t>
              </m:r>
              <m:r>
                <m:rPr>
                  <m:sty m:val="p"/>
                </m:rPr>
                <m:t>C</m:t>
              </m:r>
              <m:r>
                <m:rPr>
                  <m:sty m:val="p"/>
                </m:rPr>
                <m:t>P</m:t>
              </m:r>
              <m:r>
                <m:rPr>
                  <m:sty m:val="p"/>
                </m:rPr>
                <m:t>,</m:t>
              </m:r>
              <m:r>
                <m:t>r</m:t>
              </m:r>
            </m:sub>
            <m:sup>
              <m:r>
                <m:t>L</m:t>
              </m:r>
            </m:sup>
          </m:sSubSup>
          <m:r>
            <m:rPr>
              <m:sty m:val="p"/>
            </m:rPr>
            <m:t>=</m:t>
          </m:r>
          <m:sSubSup>
            <m:e>
              <m:r>
                <m:t>R</m:t>
              </m:r>
            </m:e>
            <m:sub>
              <m:r>
                <m:t>r</m:t>
              </m:r>
            </m:sub>
            <m:sup>
              <m:r>
                <m:t>T</m:t>
              </m:r>
            </m:sup>
          </m:sSubSup>
          <m:d>
            <m:dPr>
              <m:begChr m:val="("/>
              <m:sepChr m:val=""/>
              <m:endChr m:val=")"/>
              <m:grow/>
            </m:dPr>
            <m:e>
              <m:sSubSup>
                <m:e>
                  <m:r>
                    <m:rPr>
                      <m:sty m:val="b"/>
                    </m:rPr>
                    <m:t>p</m:t>
                  </m:r>
                </m:e>
                <m:sub>
                  <m:r>
                    <m:rPr>
                      <m:sty m:val="p"/>
                    </m:rPr>
                    <m:t>T</m:t>
                  </m:r>
                  <m:r>
                    <m:rPr>
                      <m:sty m:val="p"/>
                    </m:rPr>
                    <m:t>C</m:t>
                  </m:r>
                  <m:r>
                    <m:rPr>
                      <m:sty m:val="p"/>
                    </m:rPr>
                    <m:t>P</m:t>
                  </m:r>
                  <m:r>
                    <m:rPr>
                      <m:sty m:val="p"/>
                    </m:rPr>
                    <m:t>,</m:t>
                  </m:r>
                  <m:r>
                    <m:t>r</m:t>
                  </m:r>
                </m:sub>
                <m:sup>
                  <m:r>
                    <m:t>W</m:t>
                  </m:r>
                </m:sup>
              </m:sSubSup>
              <m:r>
                <m:rPr>
                  <m:sty m:val="p"/>
                </m:rPr>
                <m:t>−</m:t>
              </m:r>
              <m:sSub>
                <m:e>
                  <m:r>
                    <m:rPr>
                      <m:sty m:val="b"/>
                    </m:rPr>
                    <m:t>t</m:t>
                  </m:r>
                </m:e>
                <m:sub>
                  <m:r>
                    <m:t>r</m:t>
                  </m:r>
                </m:sub>
              </m:sSub>
            </m:e>
          </m:d>
          <m:r>
            <m:rPr>
              <m:sty m:val="p"/>
            </m:rPr>
            <m:t>.</m:t>
          </m:r>
        </m:oMath>
      </m:oMathPara>
    </w:p>
    <w:p>
      <w:pPr>
        <w:pStyle w:val="FirstParagraph"/>
      </w:pPr>
      <w:r>
        <w:t xml:space="preserve">Let</w:t>
      </w:r>
      <w:r>
        <w:t xml:space="preserve"> </w:t>
      </w:r>
      <m:oMath>
        <m:sSub>
          <m:e>
            <m:r>
              <m:t>δ</m:t>
            </m:r>
          </m:e>
          <m:sub>
            <m:r>
              <m:t>i</m:t>
            </m:r>
            <m:r>
              <m:rPr>
                <m:sty m:val="p"/>
              </m:rPr>
              <m:t>,</m:t>
            </m:r>
            <m:r>
              <m:t>r</m:t>
            </m:r>
          </m:sub>
        </m:sSub>
      </m:oMath>
      <w:r>
        <w:t xml:space="preserve"> </w:t>
      </w:r>
      <w:r>
        <w:t xml:space="preserve">be the nearest-neighbor distance from this local TCP target to robot</w:t>
      </w:r>
      <w:r>
        <w:t xml:space="preserve"> </w:t>
      </w:r>
      <m:oMath>
        <m:r>
          <m:t>r</m:t>
        </m:r>
      </m:oMath>
      <w:r>
        <w:t xml:space="preserve">’s sampled reachable workspace. With workspace tolerance</w:t>
      </w:r>
      <w:r>
        <w:t xml:space="preserve"> </w:t>
      </w:r>
      <m:oMath>
        <m:sSub>
          <m:e>
            <m:r>
              <m:t>τ</m:t>
            </m:r>
          </m:e>
          <m:sub>
            <m:r>
              <m:t>r</m:t>
            </m:r>
          </m:sub>
        </m:sSub>
      </m:oMath>
      <w:r>
        <w:t xml:space="preserve">,</w:t>
      </w:r>
    </w:p>
    <w:p>
      <w:pPr>
        <w:pStyle w:val="BodyText"/>
      </w:pPr>
      <m:oMathPara>
        <m:oMathParaPr>
          <m:jc m:val="center"/>
        </m:oMathParaPr>
        <m:oMath>
          <m:sSub>
            <m:e>
              <m:r>
                <m:rPr>
                  <m:sty m:val="p"/>
                </m:rPr>
                <m:t>s</m:t>
              </m:r>
              <m:r>
                <m:rPr>
                  <m:sty m:val="p"/>
                </m:rPr>
                <m:t>u</m:t>
              </m:r>
              <m:r>
                <m:rPr>
                  <m:sty m:val="p"/>
                </m:rPr>
                <m:t>p</m:t>
              </m:r>
              <m:r>
                <m:rPr>
                  <m:sty m:val="p"/>
                </m:rPr>
                <m:t>p</m:t>
              </m:r>
              <m:r>
                <m:rPr>
                  <m:sty m:val="p"/>
                </m:rPr>
                <m:t>o</m:t>
              </m:r>
              <m:r>
                <m:rPr>
                  <m:sty m:val="p"/>
                </m:rPr>
                <m:t>r</m:t>
              </m:r>
              <m:r>
                <m:rPr>
                  <m:sty m:val="p"/>
                </m:rPr>
                <m:t>t</m:t>
              </m:r>
            </m:e>
            <m:sub>
              <m:r>
                <m:t>i</m:t>
              </m:r>
              <m:r>
                <m:rPr>
                  <m:sty m:val="p"/>
                </m:rPr>
                <m:t>,</m:t>
              </m:r>
              <m:r>
                <m:t>r</m:t>
              </m:r>
            </m:sub>
          </m:sSub>
          <m:r>
            <m:rPr>
              <m:sty m:val="p"/>
            </m:rPr>
            <m:t>=</m:t>
          </m:r>
          <m:r>
            <m:rPr>
              <m:sty m:val="p"/>
            </m:rPr>
            <m:t>max</m:t>
          </m:r>
          <m:d>
            <m:dPr>
              <m:begChr m:val="("/>
              <m:sepChr m:val=""/>
              <m:endChr m:val=")"/>
              <m:grow/>
            </m:dPr>
            <m:e>
              <m:r>
                <m:t>0</m:t>
              </m:r>
              <m:r>
                <m:rPr>
                  <m:sty m:val="p"/>
                </m:rPr>
                <m:t>,</m:t>
              </m:r>
              <m:r>
                <m:t>1</m:t>
              </m:r>
              <m:r>
                <m:rPr>
                  <m:sty m:val="p"/>
                </m:rPr>
                <m:t>−</m:t>
              </m:r>
              <m:f>
                <m:fPr>
                  <m:type m:val="bar"/>
                </m:fPr>
                <m:num>
                  <m:sSub>
                    <m:e>
                      <m:r>
                        <m:t>δ</m:t>
                      </m:r>
                    </m:e>
                    <m:sub>
                      <m:r>
                        <m:t>i</m:t>
                      </m:r>
                      <m:r>
                        <m:rPr>
                          <m:sty m:val="p"/>
                        </m:rPr>
                        <m:t>,</m:t>
                      </m:r>
                      <m:r>
                        <m:t>r</m:t>
                      </m:r>
                    </m:sub>
                  </m:sSub>
                </m:num>
                <m:den>
                  <m:sSub>
                    <m:e>
                      <m:r>
                        <m:t>τ</m:t>
                      </m:r>
                    </m:e>
                    <m:sub>
                      <m:r>
                        <m:t>r</m:t>
                      </m:r>
                    </m:sub>
                  </m:sSub>
                </m:den>
              </m:f>
            </m:e>
          </m:d>
          <m:r>
            <m:rPr>
              <m:sty m:val="p"/>
            </m:rPr>
            <m:t>.</m:t>
          </m:r>
        </m:oMath>
      </m:oMathPara>
    </w:p>
    <w:p>
      <w:pPr>
        <w:pStyle w:val="FirstParagraph"/>
      </w:pPr>
      <w:r>
        <w:t xml:space="preserve">Candidates are rejected before ranking if either local TCP target lies outside its sampled workspace bounds or if</w:t>
      </w:r>
      <w:r>
        <w:t xml:space="preserve"> </w:t>
      </w:r>
      <m:oMath>
        <m:sSub>
          <m:e>
            <m:r>
              <m:t>δ</m:t>
            </m:r>
          </m:e>
          <m:sub>
            <m:r>
              <m:t>i</m:t>
            </m:r>
            <m:r>
              <m:rPr>
                <m:sty m:val="p"/>
              </m:rPr>
              <m:t>,</m:t>
            </m:r>
            <m:r>
              <m:t>r</m:t>
            </m:r>
          </m:sub>
        </m:sSub>
        <m:r>
          <m:rPr>
            <m:sty m:val="p"/>
          </m:rPr>
          <m:t>&gt;</m:t>
        </m:r>
        <m:sSub>
          <m:e>
            <m:r>
              <m:t>τ</m:t>
            </m:r>
          </m:e>
          <m:sub>
            <m:r>
              <m:t>r</m:t>
            </m:r>
          </m:sub>
        </m:sSub>
      </m:oMath>
      <w:r>
        <w:t xml:space="preserve">. The current tolerance is</w:t>
      </w:r>
      <w:r>
        <w:t xml:space="preserve"> </w:t>
      </w:r>
      <m:oMath>
        <m:r>
          <m:t>0.08</m:t>
        </m:r>
        <m:r>
          <m:t> </m:t>
        </m:r>
        <m:r>
          <m:rPr>
            <m:sty m:val="p"/>
          </m:rPr>
          <m:t>m</m:t>
        </m:r>
      </m:oMath>
      <w:r>
        <w:t xml:space="preserve"> </w:t>
      </w:r>
      <w:r>
        <w:t xml:space="preserve">for each generated robot.</w:t>
      </w:r>
    </w:p>
    <w:bookmarkEnd w:id="32"/>
    <w:bookmarkEnd w:id="33"/>
    <w:bookmarkStart w:id="34" w:name="bdi-ranking-and-selection"/>
    <w:p>
      <w:pPr>
        <w:pStyle w:val="Heading1"/>
      </w:pPr>
      <w:r>
        <w:rPr>
          <w:rStyle w:val="SectionNumber"/>
        </w:rPr>
        <w:t xml:space="preserve">6</w:t>
      </w:r>
      <w:r>
        <w:tab/>
      </w:r>
      <w:r>
        <w:t xml:space="preserve">BDI ranking and selection</w:t>
      </w:r>
    </w:p>
    <w:p>
      <w:pPr>
        <w:pStyle w:val="FirstParagraph"/>
      </w:pPr>
      <w:r>
        <w:t xml:space="preserve">The geometry component publishes each surviving candidate as a belief containing its position and four evidence values. The Jason agent—not the geometry component—calculates</w:t>
      </w:r>
    </w:p>
    <w:p>
      <w:pPr>
        <w:pStyle w:val="BodyText"/>
      </w:pPr>
      <m:oMathPara>
        <m:oMathParaPr>
          <m:jc m:val="center"/>
        </m:oMathParaPr>
        <m:oMath>
          <m:sSub>
            <m:e>
              <m:r>
                <m:t>S</m:t>
              </m:r>
            </m:e>
            <m:sub>
              <m:r>
                <m:t>i</m:t>
              </m:r>
            </m:sub>
          </m:sSub>
          <m:r>
            <m:rPr>
              <m:sty m:val="p"/>
            </m:rPr>
            <m:t>=</m:t>
          </m:r>
          <m:r>
            <m:t>0.40</m:t>
          </m:r>
          <m:r>
            <m:t> </m:t>
          </m:r>
          <m:sSub>
            <m:e>
              <m:r>
                <m:rPr>
                  <m:sty m:val="p"/>
                </m:rPr>
                <m:t>c</m:t>
              </m:r>
              <m:r>
                <m:rPr>
                  <m:sty m:val="p"/>
                </m:rPr>
                <m:t>e</m:t>
              </m:r>
              <m:r>
                <m:rPr>
                  <m:sty m:val="p"/>
                </m:rPr>
                <m:t>n</m:t>
              </m:r>
              <m:r>
                <m:rPr>
                  <m:sty m:val="p"/>
                </m:rPr>
                <m:t>t</m:t>
              </m:r>
              <m:r>
                <m:rPr>
                  <m:sty m:val="p"/>
                </m:rPr>
                <m:t>r</m:t>
              </m:r>
              <m:r>
                <m:rPr>
                  <m:sty m:val="p"/>
                </m:rPr>
                <m:t>a</m:t>
              </m:r>
              <m:r>
                <m:rPr>
                  <m:sty m:val="p"/>
                </m:rPr>
                <m:t>l</m:t>
              </m:r>
              <m:r>
                <m:rPr>
                  <m:sty m:val="p"/>
                </m:rPr>
                <m:t>i</m:t>
              </m:r>
              <m:r>
                <m:rPr>
                  <m:sty m:val="p"/>
                </m:rPr>
                <m:t>t</m:t>
              </m:r>
              <m:r>
                <m:rPr>
                  <m:sty m:val="p"/>
                </m:rPr>
                <m:t>y</m:t>
              </m:r>
            </m:e>
            <m:sub>
              <m:r>
                <m:t>i</m:t>
              </m:r>
            </m:sub>
          </m:sSub>
          <m:r>
            <m:rPr>
              <m:sty m:val="p"/>
            </m:rPr>
            <m:t>+</m:t>
          </m:r>
          <m:r>
            <m:t>0.25</m:t>
          </m:r>
          <m:r>
            <m:t> </m:t>
          </m:r>
          <m:sSub>
            <m:e>
              <m:r>
                <m:rPr>
                  <m:sty m:val="p"/>
                </m:rPr>
                <m:t>d</m:t>
              </m:r>
              <m:r>
                <m:rPr>
                  <m:sty m:val="p"/>
                </m:rPr>
                <m:t>e</m:t>
              </m:r>
              <m:r>
                <m:rPr>
                  <m:sty m:val="p"/>
                </m:rPr>
                <m:t>n</m:t>
              </m:r>
              <m:r>
                <m:rPr>
                  <m:sty m:val="p"/>
                </m:rPr>
                <m:t>s</m:t>
              </m:r>
              <m:r>
                <m:rPr>
                  <m:sty m:val="p"/>
                </m:rPr>
                <m:t>i</m:t>
              </m:r>
              <m:r>
                <m:rPr>
                  <m:sty m:val="p"/>
                </m:rPr>
                <m:t>t</m:t>
              </m:r>
              <m:r>
                <m:rPr>
                  <m:sty m:val="p"/>
                </m:rPr>
                <m:t>y</m:t>
              </m:r>
            </m:e>
            <m:sub>
              <m:r>
                <m:t>i</m:t>
              </m:r>
            </m:sub>
          </m:sSub>
          <m:r>
            <m:rPr>
              <m:sty m:val="p"/>
            </m:rPr>
            <m:t>+</m:t>
          </m:r>
          <m:r>
            <m:t>0.175</m:t>
          </m:r>
          <m:r>
            <m:t> </m:t>
          </m:r>
          <m:sSub>
            <m:e>
              <m:r>
                <m:rPr>
                  <m:sty m:val="p"/>
                </m:rPr>
                <m:t>s</m:t>
              </m:r>
              <m:r>
                <m:rPr>
                  <m:sty m:val="p"/>
                </m:rPr>
                <m:t>u</m:t>
              </m:r>
              <m:r>
                <m:rPr>
                  <m:sty m:val="p"/>
                </m:rPr>
                <m:t>p</m:t>
              </m:r>
              <m:r>
                <m:rPr>
                  <m:sty m:val="p"/>
                </m:rPr>
                <m:t>p</m:t>
              </m:r>
              <m:r>
                <m:rPr>
                  <m:sty m:val="p"/>
                </m:rPr>
                <m:t>o</m:t>
              </m:r>
              <m:r>
                <m:rPr>
                  <m:sty m:val="p"/>
                </m:rPr>
                <m:t>r</m:t>
              </m:r>
              <m:r>
                <m:rPr>
                  <m:sty m:val="p"/>
                </m:rPr>
                <m:t>t</m:t>
              </m:r>
            </m:e>
            <m:sub>
              <m:r>
                <m:t>i</m:t>
              </m:r>
              <m:r>
                <m:rPr>
                  <m:sty m:val="p"/>
                </m:rPr>
                <m:t>,</m:t>
              </m:r>
              <m:r>
                <m:t>A</m:t>
              </m:r>
            </m:sub>
          </m:sSub>
          <m:r>
            <m:rPr>
              <m:sty m:val="p"/>
            </m:rPr>
            <m:t>+</m:t>
          </m:r>
          <m:r>
            <m:t>0.175</m:t>
          </m:r>
          <m:r>
            <m:t> </m:t>
          </m:r>
          <m:sSub>
            <m:e>
              <m:r>
                <m:rPr>
                  <m:sty m:val="p"/>
                </m:rPr>
                <m:t>s</m:t>
              </m:r>
              <m:r>
                <m:rPr>
                  <m:sty m:val="p"/>
                </m:rPr>
                <m:t>u</m:t>
              </m:r>
              <m:r>
                <m:rPr>
                  <m:sty m:val="p"/>
                </m:rPr>
                <m:t>p</m:t>
              </m:r>
              <m:r>
                <m:rPr>
                  <m:sty m:val="p"/>
                </m:rPr>
                <m:t>p</m:t>
              </m:r>
              <m:r>
                <m:rPr>
                  <m:sty m:val="p"/>
                </m:rPr>
                <m:t>o</m:t>
              </m:r>
              <m:r>
                <m:rPr>
                  <m:sty m:val="p"/>
                </m:rPr>
                <m:t>r</m:t>
              </m:r>
              <m:r>
                <m:rPr>
                  <m:sty m:val="p"/>
                </m:rPr>
                <m:t>t</m:t>
              </m:r>
            </m:e>
            <m:sub>
              <m:r>
                <m:t>i</m:t>
              </m:r>
              <m:r>
                <m:rPr>
                  <m:sty m:val="p"/>
                </m:rPr>
                <m:t>,</m:t>
              </m:r>
              <m:r>
                <m:t>B</m:t>
              </m:r>
            </m:sub>
          </m:sSub>
          <m:r>
            <m:rPr>
              <m:sty m:val="p"/>
            </m:rPr>
            <m:t>.</m:t>
          </m:r>
        </m:oMath>
      </m:oMathPara>
    </w:p>
    <w:p>
      <w:pPr>
        <w:pStyle w:val="FirstParagraph"/>
      </w:pPr>
      <w:r>
        <w:t xml:space="preserve">The weights sum to 1. Centrality has the greatest influence, density rewards a thick and stable interaction region, and the two equal support terms ensure that neither robot’s reachability evidence dominates the other.</w:t>
      </w:r>
    </w:p>
    <w:p>
      <w:pPr>
        <w:pStyle w:val="BodyText"/>
      </w:pPr>
      <w:r>
        <w:t xml:space="preserve">The selected candidate is</w:t>
      </w:r>
    </w:p>
    <w:p>
      <w:pPr>
        <w:pStyle w:val="BodyText"/>
      </w:pPr>
      <m:oMathPara>
        <m:oMathParaPr>
          <m:jc m:val="center"/>
        </m:oMathParaPr>
        <m:oMath>
          <m:sSup>
            <m:e>
              <m:r>
                <m:t>i</m:t>
              </m:r>
            </m:e>
            <m:sup>
              <m:r>
                <m:rPr>
                  <m:sty m:val="p"/>
                </m:rPr>
                <m:t>*</m:t>
              </m:r>
            </m:sup>
          </m:sSup>
          <m:r>
            <m:rPr>
              <m:sty m:val="p"/>
            </m:rPr>
            <m:t>=</m:t>
          </m:r>
          <m:limLow>
            <m:e>
              <m:r>
                <m:rPr>
                  <m:sty m:val="p"/>
                </m:rPr>
                <m:t>arg max</m:t>
              </m:r>
            </m:e>
            <m:lim>
              <m:r>
                <m:t>i</m:t>
              </m:r>
            </m:lim>
          </m:limLow>
          <m:sSub>
            <m:e>
              <m:r>
                <m:t>S</m:t>
              </m:r>
            </m:e>
            <m:sub>
              <m:r>
                <m:t>i</m:t>
              </m:r>
            </m:sub>
          </m:sSub>
          <m:r>
            <m:rPr>
              <m:sty m:val="p"/>
            </m:rPr>
            <m:t>.</m:t>
          </m:r>
        </m:oMath>
      </m:oMathPara>
    </w:p>
    <w:p>
      <w:pPr>
        <w:pStyle w:val="FirstParagraph"/>
      </w:pPr>
      <w:r>
        <w:t xml:space="preserve">The agent records</w:t>
      </w:r>
      <w:r>
        <w:t xml:space="preserve"> </w:t>
      </w:r>
      <w:r>
        <w:rPr>
          <w:rStyle w:val="VerbatimChar"/>
        </w:rPr>
        <w:t xml:space="preserve">selectedHandoverCandidate</w:t>
      </w:r>
      <w:r>
        <w:t xml:space="preserve">, commits that candidate through AgentThing, and then adopts the plans that move the giver and receiver to their corresponding local TCP targets.</w:t>
      </w:r>
    </w:p>
    <w:bookmarkEnd w:id="34"/>
    <w:bookmarkStart w:id="35" w:name="algorithm-summary"/>
    <w:p>
      <w:pPr>
        <w:pStyle w:val="Heading1"/>
      </w:pPr>
      <w:r>
        <w:rPr>
          <w:rStyle w:val="SectionNumber"/>
        </w:rPr>
        <w:t xml:space="preserve">7</w:t>
      </w:r>
      <w:r>
        <w:tab/>
      </w:r>
      <w:r>
        <w:t xml:space="preserve">Algorithm summary</w:t>
      </w:r>
    </w:p>
    <w:p>
      <w:pPr>
        <w:pStyle w:val="Compact"/>
        <w:numPr>
          <w:ilvl w:val="0"/>
          <w:numId w:val="1001"/>
        </w:numPr>
      </w:pPr>
      <w:r>
        <w:t xml:space="preserve">Transform both sampled workspaces from robot-local coordinates to the common world frame.</w:t>
      </w:r>
    </w:p>
    <w:p>
      <w:pPr>
        <w:pStyle w:val="Compact"/>
        <w:numPr>
          <w:ilvl w:val="0"/>
          <w:numId w:val="1001"/>
        </w:numPr>
      </w:pPr>
      <w:r>
        <w:t xml:space="preserve">Estimate native point spacing using nearest-neighbor distance quantiles.</w:t>
      </w:r>
    </w:p>
    <w:p>
      <w:pPr>
        <w:pStyle w:val="Compact"/>
        <w:numPr>
          <w:ilvl w:val="0"/>
          <w:numId w:val="1001"/>
        </w:numPr>
      </w:pPr>
      <w:r>
        <w:t xml:space="preserve">Select an adaptive voxel size and voxelize both workspaces.</w:t>
      </w:r>
    </w:p>
    <w:p>
      <w:pPr>
        <w:pStyle w:val="Compact"/>
        <w:numPr>
          <w:ilvl w:val="0"/>
          <w:numId w:val="1001"/>
        </w:numPr>
      </w:pPr>
      <w:r>
        <w:t xml:space="preserve">Intersect the occupied voxel sets to approximate mutual reachability.</w:t>
      </w:r>
    </w:p>
    <w:p>
      <w:pPr>
        <w:pStyle w:val="Compact"/>
        <w:numPr>
          <w:ilvl w:val="0"/>
          <w:numId w:val="1001"/>
        </w:numPr>
      </w:pPr>
      <w:r>
        <w:t xml:space="preserve">Filter by the allowed world-frame handover height.</w:t>
      </w:r>
    </w:p>
    <w:p>
      <w:pPr>
        <w:pStyle w:val="Compact"/>
        <w:numPr>
          <w:ilvl w:val="0"/>
          <w:numId w:val="1001"/>
        </w:numPr>
      </w:pPr>
      <w:r>
        <w:t xml:space="preserve">Apply 20th-to-80th percentile bounds independently on</w:t>
      </w:r>
      <w:r>
        <w:t xml:space="preserve"> </w:t>
      </w:r>
      <m:oMath>
        <m:r>
          <m:t>x</m:t>
        </m:r>
      </m:oMath>
      <w:r>
        <w:t xml:space="preserve">,</w:t>
      </w:r>
      <w:r>
        <w:t xml:space="preserve"> </w:t>
      </w:r>
      <m:oMath>
        <m:r>
          <m:t>y</m:t>
        </m:r>
      </m:oMath>
      <w:r>
        <w:t xml:space="preserve">, and</w:t>
      </w:r>
      <w:r>
        <w:t xml:space="preserve"> </w:t>
      </w:r>
      <m:oMath>
        <m:r>
          <m:t>z</m:t>
        </m:r>
      </m:oMath>
      <w:r>
        <w:t xml:space="preserve">.</w:t>
      </w:r>
    </w:p>
    <w:p>
      <w:pPr>
        <w:pStyle w:val="Compact"/>
        <w:numPr>
          <w:ilvl w:val="0"/>
          <w:numId w:val="1001"/>
        </w:numPr>
      </w:pPr>
      <w:r>
        <w:t xml:space="preserve">Compute the centroid of this bounded central core.</w:t>
      </w:r>
    </w:p>
    <w:p>
      <w:pPr>
        <w:pStyle w:val="Compact"/>
        <w:numPr>
          <w:ilvl w:val="0"/>
          <w:numId w:val="1001"/>
        </w:numPr>
      </w:pPr>
      <w:r>
        <w:t xml:space="preserve">For each real core voxel, calculate centrality, local density, and reachability support for both robots.</w:t>
      </w:r>
    </w:p>
    <w:p>
      <w:pPr>
        <w:pStyle w:val="Compact"/>
        <w:numPr>
          <w:ilvl w:val="0"/>
          <w:numId w:val="1001"/>
        </w:numPr>
      </w:pPr>
      <w:r>
        <w:t xml:space="preserve">Reject candidates that are not sufficiently supported by either sampled workspace.</w:t>
      </w:r>
    </w:p>
    <w:p>
      <w:pPr>
        <w:pStyle w:val="Compact"/>
        <w:numPr>
          <w:ilvl w:val="0"/>
          <w:numId w:val="1001"/>
        </w:numPr>
      </w:pPr>
      <w:r>
        <w:t xml:space="preserve">Publish candidate beliefs and let the BDI agent maximize the weighted score.</w:t>
      </w:r>
    </w:p>
    <w:p>
      <w:pPr>
        <w:pStyle w:val="Compact"/>
        <w:numPr>
          <w:ilvl w:val="0"/>
          <w:numId w:val="1001"/>
        </w:numPr>
      </w:pPr>
      <w:r>
        <w:t xml:space="preserve">Convert the selected world cube point into robot-local TCP targets and begin collision-aware motion planning.</w:t>
      </w:r>
    </w:p>
    <w:bookmarkEnd w:id="35"/>
    <w:bookmarkStart w:id="36" w:name="current-generated-example"/>
    <w:p>
      <w:pPr>
        <w:pStyle w:val="Heading1"/>
      </w:pPr>
      <w:r>
        <w:rPr>
          <w:rStyle w:val="SectionNumber"/>
        </w:rPr>
        <w:t xml:space="preserve">8</w:t>
      </w:r>
      <w:r>
        <w:tab/>
      </w:r>
      <w:r>
        <w:t xml:space="preserve">Current generated example</w:t>
      </w:r>
    </w:p>
    <w:p>
      <w:pPr>
        <w:pStyle w:val="FirstParagraph"/>
      </w:pPr>
      <w:r>
        <w:t xml:space="preserve">The latest generated artifacts contain the following pairwise approximations: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Pair</w:t>
            </w:r>
          </w:p>
        </w:tc>
        <w:tc>
          <w:tcPr/>
          <w:p>
            <w:pPr>
              <w:pStyle w:val="Compact"/>
              <w:jc w:val="right"/>
            </w:pPr>
            <w:r>
              <w:t xml:space="preserve">Effective spacing</w:t>
            </w:r>
            <w:r>
              <w:t xml:space="preserve"> </w:t>
            </w:r>
            <m:oMath>
              <m:r>
                <m:t>s</m:t>
              </m:r>
            </m:oMath>
          </w:p>
        </w:tc>
        <w:tc>
          <w:tcPr/>
          <w:p>
            <w:pPr>
              <w:pStyle w:val="Compact"/>
              <w:jc w:val="right"/>
            </w:pPr>
            <w:r>
              <w:t xml:space="preserve">Voxel size</w:t>
            </w:r>
            <w:r>
              <w:t xml:space="preserve"> </w:t>
            </w:r>
            <m:oMath>
              <m:r>
                <m:t>h</m:t>
              </m:r>
            </m:oMath>
          </w:p>
        </w:tc>
        <w:tc>
          <w:tcPr/>
          <w:p>
            <w:pPr>
              <w:pStyle w:val="Compact"/>
              <w:jc w:val="right"/>
            </w:pPr>
            <w:r>
              <w:t xml:space="preserve">Shared voxels before central filtering</w:t>
            </w:r>
          </w:p>
        </w:tc>
        <w:tc>
          <w:tcPr/>
          <w:p>
            <w:pPr>
              <w:pStyle w:val="Compact"/>
              <w:jc w:val="right"/>
            </w:pPr>
            <w:r>
              <w:t xml:space="preserve">Reachable samples</w:t>
            </w:r>
          </w:p>
        </w:tc>
      </w:tr>
      <w:tr>
        <w:tc>
          <w:tcPr/>
          <w:p>
            <w:pPr>
              <w:pStyle w:val="Compact"/>
            </w:pPr>
            <w:r>
              <w:t xml:space="preserve">Robot1–Robot2</w:t>
            </w:r>
          </w:p>
        </w:tc>
        <w:tc>
          <w:tcPr/>
          <w:p>
            <w:pPr>
              <w:pStyle w:val="Compact"/>
              <w:jc w:val="right"/>
            </w:pPr>
            <w:r>
              <w:t xml:space="preserve">0.04510 m</w:t>
            </w:r>
          </w:p>
        </w:tc>
        <w:tc>
          <w:tcPr/>
          <w:p>
            <w:pPr>
              <w:pStyle w:val="Compact"/>
              <w:jc w:val="right"/>
            </w:pPr>
            <w:r>
              <w:t xml:space="preserve">0.04510 m</w:t>
            </w:r>
          </w:p>
        </w:tc>
        <w:tc>
          <w:tcPr/>
          <w:p>
            <w:pPr>
              <w:pStyle w:val="Compact"/>
              <w:jc w:val="right"/>
            </w:pPr>
            <w:r>
              <w:t xml:space="preserve">466</w:t>
            </w:r>
          </w:p>
        </w:tc>
        <w:tc>
          <w:tcPr/>
          <w:p>
            <w:pPr>
              <w:pStyle w:val="Compact"/>
              <w:jc w:val="right"/>
            </w:pPr>
            <w:r>
              <w:t xml:space="preserve">25,913 / 31,298</w:t>
            </w:r>
          </w:p>
        </w:tc>
      </w:tr>
      <w:tr>
        <w:tc>
          <w:tcPr/>
          <w:p>
            <w:pPr>
              <w:pStyle w:val="Compact"/>
            </w:pPr>
            <w:r>
              <w:t xml:space="preserve">Robot2–Robot3</w:t>
            </w:r>
          </w:p>
        </w:tc>
        <w:tc>
          <w:tcPr/>
          <w:p>
            <w:pPr>
              <w:pStyle w:val="Compact"/>
              <w:jc w:val="right"/>
            </w:pPr>
            <w:r>
              <w:t xml:space="preserve">0.03126 m</w:t>
            </w:r>
          </w:p>
        </w:tc>
        <w:tc>
          <w:tcPr/>
          <w:p>
            <w:pPr>
              <w:pStyle w:val="Compact"/>
              <w:jc w:val="right"/>
            </w:pPr>
            <w:r>
              <w:t xml:space="preserve">0.03126 m</w:t>
            </w:r>
          </w:p>
        </w:tc>
        <w:tc>
          <w:tcPr/>
          <w:p>
            <w:pPr>
              <w:pStyle w:val="Compact"/>
              <w:jc w:val="right"/>
            </w:pPr>
            <w:r>
              <w:t xml:space="preserve">114</w:t>
            </w:r>
          </w:p>
        </w:tc>
        <w:tc>
          <w:tcPr/>
          <w:p>
            <w:pPr>
              <w:pStyle w:val="Compact"/>
              <w:jc w:val="right"/>
            </w:pPr>
            <w:r>
              <w:t xml:space="preserve">31,298 / 24,833</w:t>
            </w:r>
          </w:p>
        </w:tc>
      </w:tr>
    </w:tbl>
    <w:p>
      <w:pPr>
        <w:pStyle w:val="BodyText"/>
      </w:pPr>
      <w:r>
        <w:t xml:space="preserve">For the current Robot2–Robot3 core, the BDI weighting selected candidate 6 during the latest test sequence. Its cube point was approximately</w:t>
      </w:r>
    </w:p>
    <w:p>
      <w:pPr>
        <w:pStyle w:val="BodyText"/>
      </w:pPr>
      <m:oMathPara>
        <m:oMathParaPr>
          <m:jc m:val="center"/>
        </m:oMathParaPr>
        <m:oMath>
          <m:sSubSup>
            <m:e>
              <m:r>
                <m:rPr>
                  <m:sty m:val="b"/>
                </m:rPr>
                <m:t>c</m:t>
              </m:r>
            </m:e>
            <m:sub>
              <m:r>
                <m:t>6</m:t>
              </m:r>
            </m:sub>
            <m:sup>
              <m:r>
                <m:t>W</m:t>
              </m:r>
            </m:sup>
          </m:sSubSup>
          <m:r>
            <m:rPr>
              <m:sty m:val="p"/>
            </m:rPr>
            <m:t>=</m:t>
          </m:r>
          <m:sSup>
            <m:e>
              <m:d>
                <m:dPr>
                  <m:begChr m:val="("/>
                  <m:sepChr m:val=""/>
                  <m:endChr m:val=")"/>
                  <m:grow/>
                </m:dPr>
                <m:e>
                  <m:r>
                    <m:t>1.5800</m:t>
                  </m:r>
                  <m:r>
                    <m:rPr>
                      <m:sty m:val="p"/>
                    </m:rPr>
                    <m:t>,</m:t>
                  </m:r>
                  <m:r>
                    <m:rPr>
                      <m:sty m:val="p"/>
                    </m:rPr>
                    <m:t>−</m:t>
                  </m:r>
                  <m:r>
                    <m:t>0.0340</m:t>
                  </m:r>
                  <m:r>
                    <m:rPr>
                      <m:sty m:val="p"/>
                    </m:rPr>
                    <m:t>,</m:t>
                  </m:r>
                  <m:r>
                    <m:t>0.3736</m:t>
                  </m:r>
                </m:e>
              </m:d>
            </m:e>
            <m:sup>
              <m:r>
                <m:t>T</m:t>
              </m:r>
            </m:sup>
          </m:sSup>
          <m:r>
            <m:t> </m:t>
          </m:r>
          <m:r>
            <m:rPr>
              <m:sty m:val="p"/>
            </m:rPr>
            <m:t>m</m:t>
          </m:r>
          <m:r>
            <m:rPr>
              <m:sty m:val="p"/>
            </m:rPr>
            <m:t>,</m:t>
          </m:r>
        </m:oMath>
      </m:oMathPara>
    </w:p>
    <w:p>
      <w:pPr>
        <w:pStyle w:val="FirstParagraph"/>
      </w:pPr>
      <w:r>
        <w:t xml:space="preserve">and Robot3’s corrected local TCP target was approximately</w:t>
      </w:r>
    </w:p>
    <w:p>
      <w:pPr>
        <w:pStyle w:val="BodyText"/>
      </w:pPr>
      <m:oMathPara>
        <m:oMathParaPr>
          <m:jc m:val="center"/>
        </m:oMathParaPr>
        <m:oMath>
          <m:sSubSup>
            <m:e>
              <m:r>
                <m:rPr>
                  <m:sty m:val="b"/>
                </m:rPr>
                <m:t>p</m:t>
              </m:r>
            </m:e>
            <m:sub>
              <m:r>
                <m:rPr>
                  <m:sty m:val="p"/>
                </m:rPr>
                <m:t>T</m:t>
              </m:r>
              <m:r>
                <m:rPr>
                  <m:sty m:val="p"/>
                </m:rPr>
                <m:t>C</m:t>
              </m:r>
              <m:r>
                <m:rPr>
                  <m:sty m:val="p"/>
                </m:rPr>
                <m:t>P</m:t>
              </m:r>
              <m:r>
                <m:rPr>
                  <m:sty m:val="p"/>
                </m:rPr>
                <m:t>,</m:t>
              </m:r>
              <m:r>
                <m:t>3</m:t>
              </m:r>
            </m:sub>
            <m:sup>
              <m:r>
                <m:t>L</m:t>
              </m:r>
            </m:sup>
          </m:sSubSup>
          <m:r>
            <m:rPr>
              <m:sty m:val="p"/>
            </m:rPr>
            <m:t>=</m:t>
          </m:r>
          <m:sSup>
            <m:e>
              <m:d>
                <m:dPr>
                  <m:begChr m:val="("/>
                  <m:sepChr m:val=""/>
                  <m:endChr m:val=")"/>
                  <m:grow/>
                </m:dPr>
                <m:e>
                  <m:r>
                    <m:rPr>
                      <m:sty m:val="p"/>
                    </m:rPr>
                    <m:t>−</m:t>
                  </m:r>
                  <m:r>
                    <m:t>0.3736</m:t>
                  </m:r>
                  <m:r>
                    <m:rPr>
                      <m:sty m:val="p"/>
                    </m:rPr>
                    <m:t>,</m:t>
                  </m:r>
                  <m:r>
                    <m:t>0.0140</m:t>
                  </m:r>
                  <m:r>
                    <m:rPr>
                      <m:sty m:val="p"/>
                    </m:rPr>
                    <m:t>,</m:t>
                  </m:r>
                  <m:r>
                    <m:t>0.5250</m:t>
                  </m:r>
                </m:e>
              </m:d>
            </m:e>
            <m:sup>
              <m:r>
                <m:t>T</m:t>
              </m:r>
            </m:sup>
          </m:sSup>
          <m:r>
            <m:t> </m:t>
          </m:r>
          <m:r>
            <m:rPr>
              <m:sty m:val="p"/>
            </m:rPr>
            <m:t>m</m:t>
          </m:r>
          <m:r>
            <m:rPr>
              <m:sty m:val="p"/>
            </m:rPr>
            <m:t>.</m:t>
          </m:r>
        </m:oMath>
      </m:oMathPara>
    </w:p>
    <w:p>
      <w:pPr>
        <w:pStyle w:val="FirstParagraph"/>
      </w:pPr>
      <w:r>
        <w:t xml:space="preserve">The latter transforms back to a world TCP height of approximately</w:t>
      </w:r>
      <w:r>
        <w:t xml:space="preserve"> </w:t>
      </w:r>
      <m:oMath>
        <m:r>
          <m:t>0.374</m:t>
        </m:r>
        <m:r>
          <m:t> </m:t>
        </m:r>
        <m:r>
          <m:rPr>
            <m:sty m:val="p"/>
          </m:rPr>
          <m:t>m</m:t>
        </m:r>
      </m:oMath>
      <w:r>
        <w:t xml:space="preserve">, illustrating why frame conversion must be performed consistently with CoppeliaSim.</w:t>
      </w:r>
    </w:p>
    <w:bookmarkEnd w:id="36"/>
    <w:bookmarkStart w:id="37" w:name="interpretation-and-limitations"/>
    <w:p>
      <w:pPr>
        <w:pStyle w:val="Heading1"/>
      </w:pPr>
      <w:r>
        <w:rPr>
          <w:rStyle w:val="SectionNumber"/>
        </w:rPr>
        <w:t xml:space="preserve">9</w:t>
      </w:r>
      <w:r>
        <w:tab/>
      </w:r>
      <w:r>
        <w:t xml:space="preserve">Interpretation and limitations</w:t>
      </w:r>
    </w:p>
    <w:p>
      <w:pPr>
        <w:pStyle w:val="FirstParagraph"/>
      </w:pPr>
      <w:r>
        <w:t xml:space="preserve">The method approximates a safe central region from sampled kinematic reachability. It does not prove that every candidate has a collision-free path in the current dynamic scene. Walls, the other robot’s current posture, carried objects, IK orientation choices, and swept-link collisions are evaluated later by the lower motion planner.</w:t>
      </w:r>
    </w:p>
    <w:p>
      <w:pPr>
        <w:pStyle w:val="BodyText"/>
      </w:pPr>
      <w:r>
        <w:t xml:space="preserve">Consequently, the central-core score should be interpreted as a robust geometric prior. Collision-aware IK and path planning remain the final feasibility checks. A future extension can add a plan-only feasibility belief and let the BDI agent reject an infeasible candidate and evaluate the next-highest score without abandoning the handover session.</w:t>
      </w:r>
    </w:p>
    <w:bookmarkEnd w:id="37"/>
    <w:bookmarkStart w:id="38" w:name="implementation-references"/>
    <w:p>
      <w:pPr>
        <w:pStyle w:val="Heading1"/>
      </w:pPr>
      <w:r>
        <w:rPr>
          <w:rStyle w:val="SectionNumber"/>
        </w:rPr>
        <w:t xml:space="preserve">10</w:t>
      </w:r>
      <w:r>
        <w:tab/>
      </w:r>
      <w:r>
        <w:t xml:space="preserve">Implementation references</w:t>
      </w:r>
    </w:p>
    <w:p>
      <w:pPr>
        <w:pStyle w:val="Compact"/>
        <w:numPr>
          <w:ilvl w:val="0"/>
          <w:numId w:val="1002"/>
        </w:numPr>
      </w:pPr>
      <w:r>
        <w:t xml:space="preserve">Interaction-space estimation and ranking evidence:</w:t>
      </w:r>
      <w:r>
        <w:t xml:space="preserve"> </w:t>
      </w:r>
      <w:r>
        <w:rPr>
          <w:rStyle w:val="VerbatimChar"/>
        </w:rPr>
        <w:t xml:space="preserve">src/generator/interactionSpace.js</w:t>
      </w:r>
    </w:p>
    <w:p>
      <w:pPr>
        <w:pStyle w:val="Compact"/>
        <w:numPr>
          <w:ilvl w:val="0"/>
          <w:numId w:val="1002"/>
        </w:numPr>
      </w:pPr>
      <w:r>
        <w:t xml:space="preserve">BDI weighted score and candidate selection:</w:t>
      </w:r>
      <w:r>
        <w:t xml:space="preserve"> </w:t>
      </w:r>
      <w:r>
        <w:rPr>
          <w:rStyle w:val="VerbatimChar"/>
        </w:rPr>
        <w:t xml:space="preserve">src/agt/handoverPlans.asl</w:t>
      </w:r>
    </w:p>
    <w:p>
      <w:pPr>
        <w:pStyle w:val="Compact"/>
        <w:numPr>
          <w:ilvl w:val="0"/>
          <w:numId w:val="1002"/>
        </w:numPr>
      </w:pPr>
      <w:r>
        <w:t xml:space="preserve">Shared-cell parameters:</w:t>
      </w:r>
      <w:r>
        <w:t xml:space="preserve"> </w:t>
      </w:r>
      <w:r>
        <w:rPr>
          <w:rStyle w:val="VerbatimChar"/>
        </w:rPr>
        <w:t xml:space="preserve">generated/robots/Robot1_Robot2_Robot3.shared.json</w:t>
      </w:r>
    </w:p>
    <w:p>
      <w:pPr>
        <w:pStyle w:val="Compact"/>
        <w:numPr>
          <w:ilvl w:val="0"/>
          <w:numId w:val="1002"/>
        </w:numPr>
      </w:pPr>
      <w:r>
        <w:t xml:space="preserve">Pair metadata:</w:t>
      </w:r>
      <w:r>
        <w:t xml:space="preserve"> </w:t>
      </w:r>
      <w:r>
        <w:rPr>
          <w:rStyle w:val="VerbatimChar"/>
        </w:rPr>
        <w:t xml:space="preserve">generated/robots/interactions/&lt;pair&gt;/space.json</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Approximating the Center of a Robot Interaction Region</dc:title>
  <dc:creator>WoMAT project documentation</dc:creator>
  <dc:language>en-US</dc:language>
  <cp:keywords/>
  <dcterms:created xsi:type="dcterms:W3CDTF">2026-08-18T12:37:52Z</dcterms:created>
  <dcterms:modified xsi:type="dcterms:W3CDTF">2026-08-18T12:37:52Z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August 2026</vt:lpwstr>
  </property>
  <property fmtid="{D5CDD505-2E9C-101B-9397-08002B2CF9AE}" pid="3" name="subtitle">
    <vt:lpwstr>Voxel intersection, bounded central core, and BDI candidate ranking</vt:lpwstr>
  </property>
</Properties>
</file>