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80"/>
        <w:jc w:val="center"/>
      </w:pPr>
      <w:r>
        <w:rPr>
          <w:rFonts w:ascii="Arial Unicode MS" w:hAnsi="Arial Unicode MS" w:eastAsia="Arial Unicode MS"/>
          <w:b/>
          <w:sz w:val="38"/>
        </w:rPr>
        <w:t>数据清洗 坐标统一与 DEM 地形预处理</w:t>
      </w:r>
    </w:p>
    <w:p>
      <w:pPr>
        <w:spacing w:line="348" w:lineRule="auto" w:after="100"/>
        <w:ind w:firstLine="420"/>
      </w:pPr>
      <w:r>
        <w:rPr>
          <w:rFonts w:ascii="Arial Unicode MS" w:hAnsi="Arial Unicode MS" w:eastAsia="Arial Unicode MS"/>
          <w:b w:val="0"/>
          <w:sz w:val="22"/>
        </w:rPr>
        <w:t>为保证无人机运输、通信中继与资源配置模型使用同一数据口径，本文建立原始数据、标准化数据和航段缓存三级数据体系。原始附件保持不变；经清洗后的结构化数据作为各模型的统一输入；DEM 航段几何与地形剖面缓存用于重复调用，从而使各问题之间的数据传递可追溯、可复现。</w:t>
      </w:r>
    </w:p>
    <w:p>
      <w:pPr>
        <w:pStyle w:val="Heading1"/>
        <w:spacing w:before="240" w:after="100"/>
      </w:pPr>
      <w:r>
        <w:rPr>
          <w:rFonts w:ascii="Arial Unicode MS" w:hAnsi="Arial Unicode MS" w:eastAsia="Arial Unicode MS"/>
          <w:b/>
          <w:sz w:val="28"/>
        </w:rPr>
        <w:t>1 节点 货箱与资源数据标准化</w:t>
      </w:r>
    </w:p>
    <w:p>
      <w:pPr>
        <w:spacing w:line="348" w:lineRule="auto" w:after="100"/>
        <w:ind w:firstLine="420"/>
      </w:pPr>
      <w:r>
        <w:rPr>
          <w:rFonts w:ascii="Arial Unicode MS" w:hAnsi="Arial Unicode MS" w:eastAsia="Arial Unicode MS"/>
          <w:b w:val="0"/>
          <w:sz w:val="22"/>
        </w:rPr>
        <w:t>从原始表格中提取临时调度中心 O01 和 15 个服务区 S001 至 S015，形成统一节点表。节点表包含编号、名称、经纬度、地面高程和服务人口。随后，将需求汇总表展开为逐箱货箱清单，使每个不可拆分货箱具有唯一编号，并记录所属服务区、物资类别、质量、体积、首批标识、最晚送达时限、期望送达时限和优先级。</w:t>
      </w:r>
    </w:p>
    <w:p>
      <w:pPr>
        <w:spacing w:line="348" w:lineRule="auto" w:after="100"/>
        <w:ind w:firstLine="420"/>
      </w:pPr>
      <w:r>
        <w:rPr>
          <w:rFonts w:ascii="Arial Unicode MS" w:hAnsi="Arial Unicode MS" w:eastAsia="Arial Unicode MS"/>
          <w:b w:val="0"/>
          <w:sz w:val="22"/>
        </w:rPr>
        <w:t>运输无人机、中继无人机、实体设备、共享电池与能源组件、通信参数也被分别整理为结构化表。字段名称显式携带量纲，例如质量以 kg 表示、体积以 m3 表示、时间以 s 表示、能量以 kWh 表示、速度以 m/s 表示，以避免后续约束计算中的单位混用。</w:t>
      </w:r>
    </w:p>
    <w:p>
      <w:pPr>
        <w:pStyle w:val="ListBullet"/>
        <w:spacing w:line="324" w:lineRule="auto" w:after="40"/>
      </w:pPr>
      <w:r>
        <w:rPr>
          <w:rFonts w:ascii="Arial Unicode MS" w:hAnsi="Arial Unicode MS" w:eastAsia="Arial Unicode MS"/>
          <w:b w:val="0"/>
          <w:sz w:val="21"/>
        </w:rPr>
        <w:t>16 个节点，其中包括 1 个临时调度中心和 15 个服务区；</w:t>
      </w:r>
    </w:p>
    <w:p>
      <w:pPr>
        <w:pStyle w:val="ListBullet"/>
        <w:spacing w:line="324" w:lineRule="auto" w:after="40"/>
      </w:pPr>
      <w:r>
        <w:rPr>
          <w:rFonts w:ascii="Arial Unicode MS" w:hAnsi="Arial Unicode MS" w:eastAsia="Arial Unicode MS"/>
          <w:b w:val="0"/>
          <w:sz w:val="21"/>
        </w:rPr>
        <w:t>80 个不可拆分货箱；</w:t>
      </w:r>
    </w:p>
    <w:p>
      <w:pPr>
        <w:pStyle w:val="ListBullet"/>
        <w:spacing w:line="324" w:lineRule="auto" w:after="40"/>
      </w:pPr>
      <w:r>
        <w:rPr>
          <w:rFonts w:ascii="Arial Unicode MS" w:hAnsi="Arial Unicode MS" w:eastAsia="Arial Unicode MS"/>
          <w:b w:val="0"/>
          <w:sz w:val="21"/>
        </w:rPr>
        <w:t>3 类运输无人机、8 架实体运输无人机和 2 架实体中继无人机；</w:t>
      </w:r>
    </w:p>
    <w:p>
      <w:pPr>
        <w:pStyle w:val="ListBullet"/>
        <w:spacing w:line="324" w:lineRule="auto" w:after="40"/>
      </w:pPr>
      <w:r>
        <w:rPr>
          <w:rFonts w:ascii="Arial Unicode MS" w:hAnsi="Arial Unicode MS" w:eastAsia="Arial Unicode MS"/>
          <w:b w:val="0"/>
          <w:sz w:val="21"/>
        </w:rPr>
        <w:t>14 项通信参数，以及共享运输电池和中继能源组件库存。</w:t>
      </w:r>
    </w:p>
    <w:p>
      <w:pPr>
        <w:pStyle w:val="Heading1"/>
        <w:spacing w:before="240" w:after="100"/>
      </w:pPr>
      <w:r>
        <w:rPr>
          <w:rFonts w:ascii="Arial Unicode MS" w:hAnsi="Arial Unicode MS" w:eastAsia="Arial Unicode MS"/>
          <w:b/>
          <w:sz w:val="28"/>
        </w:rPr>
        <w:t>2 数据一致性与完整性审计</w:t>
      </w:r>
    </w:p>
    <w:p>
      <w:pPr>
        <w:spacing w:line="348" w:lineRule="auto" w:after="100"/>
        <w:ind w:firstLine="420"/>
      </w:pPr>
      <w:r>
        <w:rPr>
          <w:rFonts w:ascii="Arial Unicode MS" w:hAnsi="Arial Unicode MS" w:eastAsia="Arial Unicode MS"/>
          <w:b w:val="0"/>
          <w:sz w:val="22"/>
        </w:rPr>
        <w:t>为避免错误数据直接进入优化过程，对编号、关联关系、数值范围、时间字段和空间覆盖范围进行自动审计。所有检查均通过，表明无需对缺失记录进行插补，也无需删除异常货箱或服务区记录。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rPr>
          <w:tblHeader w:val="true"/>
        </w:trPr>
        <w:tc>
          <w:tcPr>
            <w:tcW w:type="dxa" w:w="2608"/>
            <w:shd w:fill="1F4E7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21"/>
              </w:rPr>
              <w:t>审计项目</w:t>
            </w:r>
          </w:p>
        </w:tc>
        <w:tc>
          <w:tcPr>
            <w:tcW w:type="dxa" w:w="1134"/>
            <w:shd w:fill="1F4E7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21"/>
              </w:rPr>
              <w:t>审计结果</w:t>
            </w:r>
          </w:p>
        </w:tc>
        <w:tc>
          <w:tcPr>
            <w:tcW w:type="dxa" w:w="5216"/>
            <w:shd w:fill="1F4E7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21"/>
              </w:rPr>
              <w:t>作用</w:t>
            </w:r>
          </w:p>
        </w:tc>
      </w:tr>
      <w:tr>
        <w:tc>
          <w:tcPr>
            <w:tcW w:type="dxa" w:w="260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节点与货箱编号唯一</w:t>
            </w:r>
          </w:p>
        </w:tc>
        <w:tc>
          <w:tcPr>
            <w:tcW w:type="dxa" w:w="113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通过</w:t>
            </w:r>
          </w:p>
        </w:tc>
        <w:tc>
          <w:tcPr>
            <w:tcW w:type="dxa" w:w="521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防止任务对象重复或混淆</w:t>
            </w:r>
          </w:p>
        </w:tc>
      </w:tr>
      <w:tr>
        <w:tc>
          <w:tcPr>
            <w:tcW w:type="dxa" w:w="260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DF3F8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货箱与服务区映射一致</w:t>
            </w:r>
          </w:p>
        </w:tc>
        <w:tc>
          <w:tcPr>
            <w:tcW w:type="dxa" w:w="113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DF3F8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通过</w:t>
            </w:r>
          </w:p>
        </w:tc>
        <w:tc>
          <w:tcPr>
            <w:tcW w:type="dxa" w:w="521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DF3F8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保证需求可以被正确分配</w:t>
            </w:r>
          </w:p>
        </w:tc>
      </w:tr>
      <w:tr>
        <w:tc>
          <w:tcPr>
            <w:tcW w:type="dxa" w:w="260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需求汇总与逐箱清单一致</w:t>
            </w:r>
          </w:p>
        </w:tc>
        <w:tc>
          <w:tcPr>
            <w:tcW w:type="dxa" w:w="113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通过</w:t>
            </w:r>
          </w:p>
        </w:tc>
        <w:tc>
          <w:tcPr>
            <w:tcW w:type="dxa" w:w="521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保证不可拆分组批的需求基数准确</w:t>
            </w:r>
          </w:p>
        </w:tc>
      </w:tr>
      <w:tr>
        <w:tc>
          <w:tcPr>
            <w:tcW w:type="dxa" w:w="260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DF3F8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质量、体积和时限字段完整</w:t>
            </w:r>
          </w:p>
        </w:tc>
        <w:tc>
          <w:tcPr>
            <w:tcW w:type="dxa" w:w="113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DF3F8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通过</w:t>
            </w:r>
          </w:p>
        </w:tc>
        <w:tc>
          <w:tcPr>
            <w:tcW w:type="dxa" w:w="521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DF3F8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保证载重、容积与时限约束可计算</w:t>
            </w:r>
          </w:p>
        </w:tc>
      </w:tr>
      <w:tr>
        <w:tc>
          <w:tcPr>
            <w:tcW w:type="dxa" w:w="260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节点位于 DEM 覆盖范围内</w:t>
            </w:r>
          </w:p>
        </w:tc>
        <w:tc>
          <w:tcPr>
            <w:tcW w:type="dxa" w:w="113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通过</w:t>
            </w:r>
          </w:p>
        </w:tc>
        <w:tc>
          <w:tcPr>
            <w:tcW w:type="dxa" w:w="521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保证航段地形与通信视线可提取</w:t>
            </w:r>
          </w:p>
        </w:tc>
      </w:tr>
      <w:tr>
        <w:tc>
          <w:tcPr>
            <w:tcW w:type="dxa" w:w="260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DF3F8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航段地形剖面完整</w:t>
            </w:r>
          </w:p>
        </w:tc>
        <w:tc>
          <w:tcPr>
            <w:tcW w:type="dxa" w:w="113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DF3F8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通过</w:t>
            </w:r>
          </w:p>
        </w:tc>
        <w:tc>
          <w:tcPr>
            <w:tcW w:type="dxa" w:w="5216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DF3F8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保证安全净空与后续遮挡判断可复现</w:t>
            </w:r>
          </w:p>
        </w:tc>
      </w:tr>
    </w:tbl>
    <w:p>
      <w:pPr>
        <w:spacing w:after="40"/>
      </w:pPr>
    </w:p>
    <w:p>
      <w:pPr>
        <w:pStyle w:val="Heading1"/>
        <w:spacing w:before="240" w:after="100"/>
      </w:pPr>
      <w:r>
        <w:rPr>
          <w:rFonts w:ascii="Arial Unicode MS" w:hAnsi="Arial Unicode MS" w:eastAsia="Arial Unicode MS"/>
          <w:b/>
          <w:sz w:val="28"/>
        </w:rPr>
        <w:t>3 坐标统一与局部米制坐标构建</w:t>
      </w:r>
    </w:p>
    <w:p>
      <w:pPr>
        <w:spacing w:line="348" w:lineRule="auto" w:after="100"/>
        <w:ind w:firstLine="420"/>
      </w:pPr>
      <w:r>
        <w:rPr>
          <w:rFonts w:ascii="Arial Unicode MS" w:hAnsi="Arial Unicode MS" w:eastAsia="Arial Unicode MS"/>
          <w:b w:val="0"/>
          <w:sz w:val="22"/>
        </w:rPr>
        <w:t>原始节点坐标和 DEM 均保持 WGS84 经纬度口径，以保证节点位置与 DEM 栅格之间的空间配准不被破坏。同时，以调度中心 O01 为原点建立东、北、天局部坐标系，将每个节点转换为局部米制坐标。原始经纬度用于 DEM 索引，局部 ENU 坐标用于局部地图、三维通信视距和中继覆盖计算。</w:t>
      </w:r>
    </w:p>
    <w:p>
      <w:pPr>
        <w:spacing w:before="80" w:after="140"/>
        <w:jc w:val="center"/>
      </w:pPr>
      <m:oMathPara>
        <m:oMath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E</m:t>
              </m:r>
            </m:e>
            <m:sub>
              <m:r>
                <m:rPr>
                  <m:sty m:val="p"/>
                </m:rPr>
                <m:t>i</m:t>
              </m:r>
            </m:sub>
          </m:sSub>
          <m:r>
            <m:rPr>
              <m:sty m:val="p"/>
            </m:rPr>
            <m:t>, 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i</m:t>
              </m:r>
            </m:sub>
          </m:sSub>
          <m:r>
            <m:rPr>
              <m:sty m:val="p"/>
            </m:rPr>
            <m:t>, </m:t>
          </m:r>
          <m:sSub>
            <m:e>
              <m:r>
                <m:rPr>
                  <m:sty m:val="p"/>
                </m:rPr>
                <m:t>U</m:t>
              </m:r>
            </m:e>
            <m:sub>
              <m:r>
                <m:rPr>
                  <m:sty m:val="p"/>
                </m:rPr>
                <m:t>i</m:t>
              </m:r>
            </m:sub>
          </m:sSub>
          <m:r>
            <m:rPr>
              <m:sty m:val="p"/>
            </m:rPr>
            <m:t>) = T(</m:t>
          </m:r>
          <m:sSub>
            <m:e>
              <m:r>
                <m:rPr>
                  <m:sty m:val="p"/>
                </m:rPr>
                <m:t>λ</m:t>
              </m:r>
            </m:e>
            <m:sub>
              <m:r>
                <m:rPr>
                  <m:sty m:val="p"/>
                </m:rPr>
                <m:t>i</m:t>
              </m:r>
            </m:sub>
          </m:sSub>
          <m:r>
            <m:rPr>
              <m:sty m:val="p"/>
            </m:rPr>
            <m:t>, </m:t>
          </m:r>
          <m:sSub>
            <m:e>
              <m:r>
                <m:rPr>
                  <m:sty m:val="p"/>
                </m:rPr>
                <m:t>φ</m:t>
              </m:r>
            </m:e>
            <m:sub>
              <m:r>
                <m:rPr>
                  <m:sty m:val="p"/>
                </m:rPr>
                <m:t>i</m:t>
              </m:r>
            </m:sub>
          </m:sSub>
          <m:r>
            <m:rPr>
              <m:sty m:val="p"/>
            </m:rPr>
            <m:t>, 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spacing w:line="348" w:lineRule="auto" w:after="100"/>
        <w:ind w:firstLine="420"/>
      </w:pPr>
      <w:r>
        <w:rPr>
          <w:rFonts w:ascii="Arial Unicode MS" w:hAnsi="Arial Unicode MS" w:eastAsia="Arial Unicode MS"/>
          <w:b w:val="0"/>
          <w:sz w:val="22"/>
        </w:rPr>
        <w:t>对于问题一中的水平航段距离，仍采用 Haversine 大圆距离计算，以避免将局部平面近似直接用于距离结算。</w:t>
      </w:r>
    </w:p>
    <w:p>
      <w:pPr>
        <w:spacing w:before="80" w:after="140"/>
        <w:jc w:val="center"/>
      </w:pPr>
      <m:oMathPara>
        <m:oMath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ij</m:t>
              </m:r>
            </m:sub>
          </m:sSub>
          <m:r>
            <m:rPr>
              <m:sty m:val="p"/>
            </m:rPr>
            <m:t> = 2R arcsin √[ sin²((</m:t>
          </m:r>
          <m:sSub>
            <m:e>
              <m:r>
                <m:rPr>
                  <m:sty m:val="p"/>
                </m:rPr>
                <m:t>φ</m:t>
              </m:r>
            </m:e>
            <m:sub>
              <m:r>
                <m:rPr>
                  <m:sty m:val="p"/>
                </m:rPr>
                <m:t>j</m:t>
              </m:r>
            </m:sub>
          </m:sSub>
          <m:r>
            <m:rPr>
              <m:sty m:val="p"/>
            </m:rPr>
            <m:t> - </m:t>
          </m:r>
          <m:sSub>
            <m:e>
              <m:r>
                <m:rPr>
                  <m:sty m:val="p"/>
                </m:rPr>
                <m:t>φ</m:t>
              </m:r>
            </m:e>
            <m:sub>
              <m:r>
                <m:rPr>
                  <m:sty m:val="p"/>
                </m:rPr>
                <m:t>i</m:t>
              </m:r>
            </m:sub>
          </m:sSub>
          <m:r>
            <m:rPr>
              <m:sty m:val="p"/>
            </m:rPr>
            <m:t>) / 2) + cos </m:t>
          </m:r>
          <m:sSub>
            <m:e>
              <m:r>
                <m:rPr>
                  <m:sty m:val="p"/>
                </m:rPr>
                <m:t>φ</m:t>
              </m:r>
            </m:e>
            <m:sub>
              <m:r>
                <m:rPr>
                  <m:sty m:val="p"/>
                </m:rPr>
                <m:t>i</m:t>
              </m:r>
            </m:sub>
          </m:sSub>
          <m:r>
            <m:rPr>
              <m:sty m:val="p"/>
            </m:rPr>
            <m:t> cos </m:t>
          </m:r>
          <m:sSub>
            <m:e>
              <m:r>
                <m:rPr>
                  <m:sty m:val="p"/>
                </m:rPr>
                <m:t>φ</m:t>
              </m:r>
            </m:e>
            <m:sub>
              <m:r>
                <m:rPr>
                  <m:sty m:val="p"/>
                </m:rPr>
                <m:t>j</m:t>
              </m:r>
            </m:sub>
          </m:sSub>
          <m:r>
            <m:rPr>
              <m:sty m:val="p"/>
            </m:rPr>
            <m:t> sin²((</m:t>
          </m:r>
          <m:sSub>
            <m:e>
              <m:r>
                <m:rPr>
                  <m:sty m:val="p"/>
                </m:rPr>
                <m:t>λ</m:t>
              </m:r>
            </m:e>
            <m:sub>
              <m:r>
                <m:rPr>
                  <m:sty m:val="p"/>
                </m:rPr>
                <m:t>j</m:t>
              </m:r>
            </m:sub>
          </m:sSub>
          <m:r>
            <m:rPr>
              <m:sty m:val="p"/>
            </m:rPr>
            <m:t> - </m:t>
          </m:r>
          <m:sSub>
            <m:e>
              <m:r>
                <m:rPr>
                  <m:sty m:val="p"/>
                </m:rPr>
                <m:t>λ</m:t>
              </m:r>
            </m:e>
            <m:sub>
              <m:r>
                <m:rPr>
                  <m:sty m:val="p"/>
                </m:rPr>
                <m:t>i</m:t>
              </m:r>
            </m:sub>
          </m:sSub>
          <m:r>
            <m:rPr>
              <m:sty m:val="p"/>
            </m:rPr>
            <m:t>) / 2) ]</m:t>
          </m:r>
        </m:oMath>
      </m:oMathPara>
    </w:p>
    <w:p>
      <w:pPr>
        <w:pStyle w:val="Heading1"/>
        <w:spacing w:before="240" w:after="100"/>
      </w:pPr>
      <w:r>
        <w:rPr>
          <w:rFonts w:ascii="Arial Unicode MS" w:hAnsi="Arial Unicode MS" w:eastAsia="Arial Unicode MS"/>
          <w:b/>
          <w:sz w:val="28"/>
        </w:rPr>
        <w:t>4 DEM 地形处理与航段安全高度</w:t>
      </w:r>
    </w:p>
    <w:p>
      <w:pPr>
        <w:spacing w:line="348" w:lineRule="auto" w:after="100"/>
        <w:ind w:firstLine="420"/>
      </w:pPr>
      <w:r>
        <w:rPr>
          <w:rFonts w:ascii="Arial Unicode MS" w:hAnsi="Arial Unicode MS" w:eastAsia="Arial Unicode MS"/>
          <w:b w:val="0"/>
          <w:sz w:val="22"/>
        </w:rPr>
        <w:t>DEM 栅格覆盖全部节点，栅格尺寸为 1486 乘 1309，高程范围为 41.689 至 1132.856 m，未检测到 NoData 像元。对于任意航段 i 至 j，采用栅格穿越算法提取直线航迹经过的全部 DEM 像元，而非只比较起终点高程。</w:t>
      </w:r>
    </w:p>
    <w:p>
      <w:pPr>
        <w:spacing w:before="80" w:after="140"/>
        <w:jc w:val="center"/>
      </w:pPr>
      <m:oMathPara>
        <m:oMath>
          <m:sSub>
            <m:e>
              <m:r>
                <m:rPr>
                  <m:sty m:val="p"/>
                </m:rPr>
                <m:t>G</m:t>
              </m:r>
            </m:e>
            <m:sub>
              <m:r>
                <m:rPr>
                  <m:sty m:val="p"/>
                </m:rPr>
                <m:t>ij</m:t>
              </m:r>
            </m:sub>
          </m:sSub>
          <m:r>
            <m:rPr>
              <m:sty m:val="p"/>
            </m:rPr>
            <m:t> = {</m:t>
          </m:r>
          <m:sSub>
            <m:e>
              <m:r>
                <m:rPr>
                  <m:sty m:val="p"/>
                </m:rPr>
                <m:t>g</m:t>
              </m:r>
            </m:e>
            <m:sub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, </m:t>
          </m:r>
          <m:sSub>
            <m:e>
              <m:r>
                <m:rPr>
                  <m:sty m:val="p"/>
                </m:rPr>
                <m:t>g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, …, </m:t>
          </m:r>
          <m:sSub>
            <m:e>
              <m:r>
                <m:rPr>
                  <m:sty m:val="p"/>
                </m:rPr>
                <m:t>g</m:t>
              </m:r>
            </m:e>
            <m:sub>
              <m:r>
                <m:rPr>
                  <m:sty m:val="p"/>
                </m:rPr>
                <m:t>n</m:t>
              </m:r>
            </m:sub>
          </m:sSub>
          <m:r>
            <m:rPr>
              <m:sty m:val="p"/>
            </m:rPr>
            <m:t>}</m:t>
          </m:r>
        </m:oMath>
      </m:oMathPara>
    </w:p>
    <w:p>
      <w:pPr>
        <w:spacing w:line="348" w:lineRule="auto" w:after="100"/>
        <w:ind w:firstLine="420"/>
      </w:pPr>
      <w:r>
        <w:rPr>
          <w:rFonts w:ascii="Arial Unicode MS" w:hAnsi="Arial Unicode MS" w:eastAsia="Arial Unicode MS"/>
          <w:b w:val="0"/>
          <w:sz w:val="22"/>
        </w:rPr>
        <w:t>设航段经过的 DEM 像元集合为 G_ij，则沿线最高地形高程由该集合的最大值给出。根据题设，固定绝对巡航高度应比沿线最高地面高程高 50 m。</w:t>
      </w:r>
    </w:p>
    <w:p>
      <w:pPr>
        <w:spacing w:before="80" w:after="140"/>
        <w:jc w:val="center"/>
      </w:pPr>
      <m:oMathPara>
        <m:oMath>
          <m:r>
            <m:rPr>
              <m:sty m:val="p"/>
            </m:rPr>
            <m:t>Hᵐᵃˣᵢⱼ = max </m:t>
          </m:r>
          <m:sSub>
            <m:e>
              <m:r>
                <m:rPr>
                  <m:sty m:val="p"/>
                </m:rPr>
                <m:t>g</m:t>
              </m:r>
            </m:e>
            <m:sub>
              <m:r>
                <m:rPr>
                  <m:sty m:val="p"/>
                </m:rPr>
                <m:t>∈Gᵢⱼ</m:t>
              </m:r>
            </m:sub>
          </m:sSub>
          <m:r>
            <m:rPr>
              <m:sty m:val="p"/>
            </m:rPr>
            <m:t> H</m:t>
          </m:r>
          <m:sSub>
            <m:e>
              <m:r>
                <m:rPr>
                  <m:sty m:val="p"/>
                </m:rPr>
                <m:t>DEM</m:t>
              </m:r>
            </m:e>
            <m:sub>
              <m:r>
                <m:rPr>
                  <m:sty m:val="p"/>
                </m:rPr>
                <m:t>g</m:t>
              </m:r>
            </m:sub>
          </m:sSub>
        </m:oMath>
      </m:oMathPara>
    </w:p>
    <w:p>
      <w:pPr>
        <w:spacing w:before="80" w:after="140"/>
        <w:jc w:val="center"/>
      </w:pPr>
      <m:oMathPara>
        <m:oMath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cruise</m:t>
              </m:r>
            </m:e>
            <m:sub>
              <m:r>
                <m:rPr>
                  <m:sty m:val="p"/>
                </m:rPr>
                <m:t>ij</m:t>
              </m:r>
            </m:sub>
          </m:sSub>
          <m:r>
            <m:rPr>
              <m:sty m:val="p"/>
            </m:rPr>
            <m:t> = Hᵐᵃˣᵢⱼ + 50 m</m:t>
          </m:r>
        </m:oMath>
      </m:oMathPara>
    </w:p>
    <w:p>
      <w:pPr>
        <w:spacing w:line="348" w:lineRule="auto" w:after="100"/>
        <w:ind w:firstLine="420"/>
      </w:pPr>
      <w:r>
        <w:rPr>
          <w:rFonts w:ascii="Arial Unicode MS" w:hAnsi="Arial Unicode MS" w:eastAsia="Arial Unicode MS"/>
          <w:b w:val="0"/>
          <w:sz w:val="22"/>
        </w:rPr>
        <w:t>若以飞行高度与地形高程之差定义离地净空，则安全约束可表示为下式。该式中的 50 m 是净空阈值，而非绝对海拔阈值。</w:t>
      </w:r>
    </w:p>
    <w:p>
      <w:pPr>
        <w:spacing w:before="80" w:after="140"/>
        <w:jc w:val="center"/>
      </w:pPr>
      <m:oMathPara>
        <m:oMath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clr</m:t>
              </m:r>
            </m:sub>
          </m:sSub>
          <m:r>
            <m:rPr>
              <m:sty m:val="p"/>
            </m:rPr>
            <m:t>(s) = 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flight</m:t>
              </m:r>
            </m:sub>
          </m:sSub>
          <m:r>
            <m:rPr>
              <m:sty m:val="p"/>
            </m:rPr>
            <m:t>(s) - 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DEM</m:t>
              </m:r>
            </m:sub>
          </m:sSub>
          <m:r>
            <m:rPr>
              <m:sty m:val="p"/>
            </m:rPr>
            <m:t>(s),     minₛ 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clr</m:t>
              </m:r>
            </m:sub>
          </m:sSub>
          <m:r>
            <m:rPr>
              <m:sty m:val="p"/>
            </m:rPr>
            <m:t>(s) ≥ 50 m</m:t>
          </m:r>
        </m:oMath>
      </m:oMathPara>
    </w:p>
    <w:p>
      <w:pPr>
        <w:spacing w:line="348" w:lineRule="auto" w:after="100"/>
        <w:ind w:firstLine="420"/>
      </w:pPr>
      <w:r>
        <w:rPr>
          <w:rFonts w:ascii="Arial Unicode MS" w:hAnsi="Arial Unicode MS" w:eastAsia="Arial Unicode MS"/>
          <w:b w:val="0"/>
          <w:sz w:val="22"/>
        </w:rPr>
        <w:t>节点表高程与最近 DEM 像元高程的平均差异约为 3.55 m，最大差异约为 10.56 m。故本文采用节点表高程描述起降点作业高度，采用 DEM 高程描述航线中间段的地形净空。</w:t>
      </w:r>
    </w:p>
    <w:p>
      <w:pPr>
        <w:pStyle w:val="Heading1"/>
        <w:spacing w:before="240" w:after="100"/>
      </w:pPr>
      <w:r>
        <w:rPr>
          <w:rFonts w:ascii="Arial Unicode MS" w:hAnsi="Arial Unicode MS" w:eastAsia="Arial Unicode MS"/>
          <w:b/>
          <w:sz w:val="28"/>
        </w:rPr>
        <w:t>5 航段缓存及跨问题接口</w:t>
      </w:r>
    </w:p>
    <w:p>
      <w:pPr>
        <w:spacing w:line="348" w:lineRule="auto" w:after="100"/>
        <w:ind w:firstLine="420"/>
      </w:pPr>
      <w:r>
        <w:rPr>
          <w:rFonts w:ascii="Arial Unicode MS" w:hAnsi="Arial Unicode MS" w:eastAsia="Arial Unicode MS"/>
          <w:b w:val="0"/>
          <w:sz w:val="22"/>
        </w:rPr>
        <w:t>16 个节点之间共构建 240 条有向航段。每条航段的水平距离、沿线最高地形高程、安全巡航高度和穿越格网数写入航段几何缓存；同时，按穿越顺序保存完整地形剖面，包括样本序号、归一化沿程位置、DEM 行列号、样本经纬度和地形高程。完整地形剖面共含 60748 个样本。</w:t>
      </w:r>
    </w:p>
    <w:p>
      <w:pPr>
        <w:spacing w:line="348" w:lineRule="auto" w:after="100"/>
        <w:ind w:firstLine="420"/>
      </w:pPr>
      <w:r>
        <w:rPr>
          <w:rFonts w:ascii="Arial Unicode MS" w:hAnsi="Arial Unicode MS" w:eastAsia="Arial Unicode MS"/>
          <w:b w:val="0"/>
          <w:sz w:val="22"/>
        </w:rPr>
        <w:t>该缓存能够直接服务问题一的飞行时间、爬升高度和能耗计算；问题二可在此基础上叠加多点配送与资源状态约束；问题三可利用 DEM 行列索引和 ENU 坐标重建候选时刻的三维通信视线；问题四则可复用前述任务和资源数据进行分组配置。应注意，地形剖面缓存仅保存地形信息，通信可见性仍需结合具体飞行高度、位置与时间进行动态判定。</w:t>
      </w:r>
    </w:p>
    <w:p>
      <w:pPr>
        <w:pStyle w:val="Heading1"/>
        <w:spacing w:before="240" w:after="100"/>
      </w:pPr>
      <w:r>
        <w:rPr>
          <w:rFonts w:ascii="Arial Unicode MS" w:hAnsi="Arial Unicode MS" w:eastAsia="Arial Unicode MS"/>
          <w:b/>
          <w:sz w:val="28"/>
        </w:rPr>
        <w:t>6 预处理结果的图件表达建议</w:t>
      </w:r>
    </w:p>
    <w:p>
      <w:pPr>
        <w:spacing w:line="348" w:lineRule="auto" w:after="100"/>
        <w:ind w:firstLine="420"/>
      </w:pPr>
      <w:r>
        <w:rPr>
          <w:rFonts w:ascii="Arial Unicode MS" w:hAnsi="Arial Unicode MS" w:eastAsia="Arial Unicode MS"/>
          <w:b w:val="0"/>
          <w:sz w:val="22"/>
        </w:rPr>
        <w:t>为在论文中直观说明预处理结果，建议优先绘制以下图件。其中前三项适合正文，节点高程一致性图可根据篇幅放入正文或附录。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rPr>
          <w:tblHeader w:val="true"/>
        </w:trPr>
        <w:tc>
          <w:tcPr>
            <w:tcW w:type="dxa" w:w="2324"/>
            <w:shd w:fill="1F4E79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21"/>
              </w:rPr>
              <w:t>图件</w:t>
            </w:r>
          </w:p>
        </w:tc>
        <w:tc>
          <w:tcPr>
            <w:tcW w:type="dxa" w:w="3458"/>
            <w:shd w:fill="1F4E79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21"/>
              </w:rPr>
              <w:t>表达内容</w:t>
            </w:r>
          </w:p>
        </w:tc>
        <w:tc>
          <w:tcPr>
            <w:tcW w:type="dxa" w:w="3175"/>
            <w:shd w:fill="1F4E79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21"/>
              </w:rPr>
              <w:t>建模作用</w:t>
            </w:r>
          </w:p>
        </w:tc>
      </w:tr>
      <w:tr>
        <w:tc>
          <w:tcPr>
            <w:tcW w:type="dxa" w:w="23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sz w:val="20"/>
              </w:rPr>
              <w:t>DEM 地形与节点分布图</w:t>
            </w:r>
          </w:p>
        </w:tc>
        <w:tc>
          <w:tcPr>
            <w:tcW w:type="dxa" w:w="345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sz w:val="20"/>
              </w:rPr>
              <w:t>DEM 高程底图、O01、15 个服务区及可选直飞航段</w:t>
            </w:r>
          </w:p>
        </w:tc>
        <w:tc>
          <w:tcPr>
            <w:tcW w:type="dxa" w:w="317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sz w:val="20"/>
              </w:rPr>
              <w:t>说明空间分散性和地形约束来源</w:t>
            </w:r>
          </w:p>
        </w:tc>
      </w:tr>
      <w:tr>
        <w:tc>
          <w:tcPr>
            <w:tcW w:type="dxa" w:w="23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DF3F8"/>
          </w:tcPr>
          <w:p>
            <w:r>
              <w:rPr>
                <w:rFonts w:ascii="Arial Unicode MS" w:hAnsi="Arial Unicode MS" w:eastAsia="Arial Unicode MS"/>
                <w:b w:val="0"/>
                <w:sz w:val="20"/>
              </w:rPr>
              <w:t>典型航段地形剖面图</w:t>
            </w:r>
          </w:p>
        </w:tc>
        <w:tc>
          <w:tcPr>
            <w:tcW w:type="dxa" w:w="345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DF3F8"/>
          </w:tcPr>
          <w:p>
            <w:r>
              <w:rPr>
                <w:rFonts w:ascii="Arial Unicode MS" w:hAnsi="Arial Unicode MS" w:eastAsia="Arial Unicode MS"/>
                <w:b w:val="0"/>
                <w:sz w:val="20"/>
              </w:rPr>
              <w:t>最短、最长、最高地形航段及其 50 m 安全净空</w:t>
            </w:r>
          </w:p>
        </w:tc>
        <w:tc>
          <w:tcPr>
            <w:tcW w:type="dxa" w:w="317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DF3F8"/>
          </w:tcPr>
          <w:p>
            <w:r>
              <w:rPr>
                <w:rFonts w:ascii="Arial Unicode MS" w:hAnsi="Arial Unicode MS" w:eastAsia="Arial Unicode MS"/>
                <w:b w:val="0"/>
                <w:sz w:val="20"/>
              </w:rPr>
              <w:t>证明必须沿航段扫描 DEM，而不能只比较端点</w:t>
            </w:r>
          </w:p>
        </w:tc>
      </w:tr>
      <w:tr>
        <w:tc>
          <w:tcPr>
            <w:tcW w:type="dxa" w:w="23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sz w:val="20"/>
              </w:rPr>
              <w:t>安全巡航高度分布图</w:t>
            </w:r>
          </w:p>
        </w:tc>
        <w:tc>
          <w:tcPr>
            <w:tcW w:type="dxa" w:w="345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sz w:val="20"/>
              </w:rPr>
              <w:t>O01 至各服务区的安全巡航绝对高度</w:t>
            </w:r>
          </w:p>
        </w:tc>
        <w:tc>
          <w:tcPr>
            <w:tcW w:type="dxa" w:w="317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sz w:val="20"/>
              </w:rPr>
              <w:t>衔接问题一的爬升能耗和最大安全载荷</w:t>
            </w:r>
          </w:p>
        </w:tc>
      </w:tr>
      <w:tr>
        <w:tc>
          <w:tcPr>
            <w:tcW w:type="dxa" w:w="232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DF3F8"/>
          </w:tcPr>
          <w:p>
            <w:r>
              <w:rPr>
                <w:rFonts w:ascii="Arial Unicode MS" w:hAnsi="Arial Unicode MS" w:eastAsia="Arial Unicode MS"/>
                <w:b w:val="0"/>
                <w:sz w:val="20"/>
              </w:rPr>
              <w:t>节点高程一致性散点图</w:t>
            </w:r>
          </w:p>
        </w:tc>
        <w:tc>
          <w:tcPr>
            <w:tcW w:type="dxa" w:w="345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DF3F8"/>
          </w:tcPr>
          <w:p>
            <w:r>
              <w:rPr>
                <w:rFonts w:ascii="Arial Unicode MS" w:hAnsi="Arial Unicode MS" w:eastAsia="Arial Unicode MS"/>
                <w:b w:val="0"/>
                <w:sz w:val="20"/>
              </w:rPr>
              <w:t>节点表高程与最近 DEM 像元高程的比较</w:t>
            </w:r>
          </w:p>
        </w:tc>
        <w:tc>
          <w:tcPr>
            <w:tcW w:type="dxa" w:w="317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DF3F8"/>
          </w:tcPr>
          <w:p>
            <w:r>
              <w:rPr>
                <w:rFonts w:ascii="Arial Unicode MS" w:hAnsi="Arial Unicode MS" w:eastAsia="Arial Unicode MS"/>
                <w:b w:val="0"/>
                <w:sz w:val="20"/>
              </w:rPr>
              <w:t>说明起降高度和沿线净空分别采用不同高程来源</w:t>
            </w:r>
          </w:p>
        </w:tc>
      </w:tr>
    </w:tbl>
    <w:p>
      <w:pPr>
        <w:spacing w:line="348" w:lineRule="auto" w:after="100"/>
        <w:ind w:firstLine="420"/>
      </w:pPr>
      <w:r>
        <w:rPr>
          <w:rFonts w:ascii="Arial Unicode MS" w:hAnsi="Arial Unicode MS" w:eastAsia="Arial Unicode MS"/>
          <w:b w:val="0"/>
          <w:sz w:val="22"/>
        </w:rPr>
        <w:t>若正文仅保留三张图，建议采用“DEM 地形与节点分布图—典型航段地形剖面图—安全巡航高度分布图”的组合，形成从空间背景、地形处理到飞行约束的完整证据链。</w:t>
      </w:r>
    </w:p>
    <w:sectPr w:rsidR="00FC693F" w:rsidRPr="0006063C" w:rsidSect="00034616">
      <w:footerReference w:type="default" r:id="rId9"/>
      <w:pgSz w:w="12240" w:h="15840"/>
      <w:pgMar w:top="1247" w:right="1332" w:bottom="1247" w:left="13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100"/>
      <w:jc w:val="center"/>
    </w:pPr>
    <w:r>
      <w:rPr>
        <w:rFonts w:ascii="Arial Unicode MS" w:hAnsi="Arial Unicode MS" w:eastAsia="Arial Unicode MS"/>
        <w:b w:val="0"/>
        <w:sz w:val="17"/>
      </w:rPr>
      <w:t>华为杯无人机运输与通信协同优化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quationCaption">
    <w:name w:val="Equation Caption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数据清洗 坐标统一与 DEM 地形预处理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