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Assistant Professor-Computer Science Search</w:t>
      </w:r>
    </w:p>
    <w:p>
      <w:pPr>
        <w:spacing w:after="60" w:before="0"/>
        <w:jc w:val="left"/>
      </w:pPr>
      <w:r>
        <w:rPr>
          <w:rFonts w:ascii="Garamond" w:cs="Garamond" w:eastAsia="Garamond" w:hAnsi="Garamond"/>
          <w:b w:val="false"/>
          <w:bCs w:val="false"/>
          <w:i w:val="false"/>
          <w:iCs w:val="false"/>
          <w:color w:val="555555"/>
          <w:sz w:val="20"/>
          <w:szCs w:val="20"/>
        </w:rPr>
        <w:t xml:space="preserve">Department of Mathematics and Computer Science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Assistant Professor-Computer Science (Job No. 497034)</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regarding the tenure-track Assistant Professor position in the Department of Mathematics and Computer Science. I begin the Ph.D. in Higher Education Leadership, Management and Policy at Seton Hall this fall, so I will be part of this university while this search runs — a student of how institutions organize themselves, applying to help teach in one of its technical departments.</w:t>
      </w:r>
    </w:p>
    <w:p>
      <w:pPr>
        <w:spacing w:after="200" w:before="0"/>
        <w:jc w:val="left"/>
      </w:pPr>
      <w:r>
        <w:rPr>
          <w:rFonts w:ascii="Garamond" w:cs="Garamond" w:eastAsia="Garamond" w:hAnsi="Garamond"/>
          <w:b w:val="false"/>
          <w:bCs w:val="false"/>
          <w:i w:val="false"/>
          <w:iCs w:val="false"/>
          <w:color w:val="444444"/>
          <w:sz w:val="21"/>
          <w:szCs w:val="21"/>
        </w:rPr>
        <w:t xml:space="preserve">My closest match to the posting is applied computing at organizational scale. For thirteen years I delivered enterprise systems in production environments where failure was expensive: at Interpublic Group I coordinated Salesforce, Microsoft Dynamics 365, Maximo, and Active Directory implementations for 600 users across several subsidiary agencies, and at HCL Americas I directed three cloud migration projects and a 10,000-user client migration while standing up centralized KPI dashboards for executive decisions. Students in a data science or cybersecurity course often ask what identity management, migration risk, or data governance look like outside a textbook; that is material I have lived rather than read.</w:t>
      </w:r>
    </w:p>
    <w:p>
      <w:pPr>
        <w:spacing w:after="200" w:before="0"/>
        <w:jc w:val="left"/>
      </w:pPr>
      <w:r>
        <w:rPr>
          <w:rFonts w:ascii="Garamond" w:cs="Garamond" w:eastAsia="Garamond" w:hAnsi="Garamond"/>
          <w:b w:val="false"/>
          <w:bCs w:val="false"/>
          <w:i w:val="false"/>
          <w:iCs w:val="false"/>
          <w:color w:val="444444"/>
          <w:sz w:val="21"/>
          <w:szCs w:val="21"/>
        </w:rPr>
        <w:t xml:space="preserve">On the teaching and mentorship side, my experience is real but modest. As a Graduate Assistant at Eastern University I ran the course lifecycle for two high-enrollment undergraduate courses of more than 200 students each, working with faculty on assessment design and grading workflows and using performance trend analysis to flag students who needed intervention. My graduate research studied technology adoption and engagement in LMS environments, and I completed a Software Engineering Bootcamp at General Assembly in 2025 alongside an MBA concentration in Artificial Intelligence.</w:t>
      </w:r>
    </w:p>
    <w:p>
      <w:pPr>
        <w:spacing w:after="200" w:before="0"/>
        <w:jc w:val="left"/>
      </w:pPr>
      <w:r>
        <w:rPr>
          <w:rFonts w:ascii="Garamond" w:cs="Garamond" w:eastAsia="Garamond" w:hAnsi="Garamond"/>
          <w:b w:val="false"/>
          <w:bCs w:val="false"/>
          <w:i w:val="false"/>
          <w:iCs w:val="false"/>
          <w:color w:val="444444"/>
          <w:sz w:val="21"/>
          <w:szCs w:val="21"/>
        </w:rPr>
        <w:t xml:space="preserve">The requirement I do not meet is the central one: I do not hold a Ph.D. in Computer Science, Computer Engineering, or a related area, and the doctorate I am beginning is in higher education, not computing — so this is not a gap that time will close in the way the posting intends. I also have no publication record and no history of grant funding, both listed as desirable. A tenure-track appointment in this department rightly belongs to a candidate who has those.</w:t>
      </w:r>
    </w:p>
    <w:p>
      <w:pPr>
        <w:spacing w:after="200" w:before="0"/>
        <w:jc w:val="left"/>
      </w:pPr>
      <w:r>
        <w:rPr>
          <w:rFonts w:ascii="Garamond" w:cs="Garamond" w:eastAsia="Garamond" w:hAnsi="Garamond"/>
          <w:b w:val="false"/>
          <w:bCs w:val="false"/>
          <w:i w:val="false"/>
          <w:iCs w:val="false"/>
          <w:color w:val="444444"/>
          <w:sz w:val="21"/>
          <w:szCs w:val="21"/>
        </w:rPr>
        <w:t xml:space="preserve">If the department ever finds value in a practitioner for adjunct instruction, industry-facing course content, or research supervision on applied systems and analytics projects, I would be glad to talk. Thank you for considering this application and for the time the committee is giving the search.</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