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Applied Computing &amp; Enterprise Systems Practice  ·  Instructional Support and Institutional Research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Technology practitioner turned higher education professional, and incoming Seton Hall doctoral student, with thirteen-plus years leading enterprise software delivery — cloud migrations, CRM and ERP implementations, identity and access systems, and analytics platforms — across financial services, pharmaceutical, and media organizations. Completed a Software Engineering Bootcamp at General Assembly in 2025 and an MBA concentration in Artificial Intelligence, with coursework in Data Analytics for Decision-Making, Technology Strategy, and Research Methods.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Academic side: managed the full course lifecycle for two high-enrollment undergraduate courses (200+ students per semester), supported assessment design and grading workflows with course faculty, and conducted graduate research on technology adoption and engagement in LMS environments. Currently completing an MBA with a 3.87 GPA.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Technology adoption and digital transformation in postsecondary institutions  ·  Applied data analytics for institutional decision-making  ·  Enterprise systems and platform effectiveness  ·  Non-traditional student persistence and service delivery equity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Enterprise Systems Delivery (Salesforce, MS Dynamics 365, SAP, Maximo)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Cloud Migration &amp; Large-Scale User Migration Programs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Identity &amp; Access Administration (Active Directory)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Software Development Lifecycle (Agile, Scrum, Waterfall)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Software Engineering Fundamentals (General Assembly Bootcamp, 2025)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Systematic Literature Review &amp; Research Methods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Technical Documentation, SOPs &amp; Trackers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