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Tenure Track - Assistant Professor, Law and Politics Search</w:t>
      </w:r>
    </w:p>
    <w:p>
      <w:pPr>
        <w:spacing w:after="60" w:before="0"/>
        <w:jc w:val="left"/>
      </w:pPr>
      <w:r>
        <w:rPr>
          <w:rFonts w:ascii="Garamond" w:cs="Garamond" w:eastAsia="Garamond" w:hAnsi="Garamond"/>
          <w:b w:val="false"/>
          <w:bCs w:val="false"/>
          <w:i w:val="false"/>
          <w:iCs w:val="false"/>
          <w:color w:val="555555"/>
          <w:sz w:val="20"/>
          <w:szCs w:val="20"/>
        </w:rPr>
        <w:t xml:space="preserve">Department of Political Science and Public Affairs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Tenure Track - Assistant Professor, Law and Politics (Job No. 496897)</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tenure-track Assistant Professor position in Law and Politics in the Department of Political Science and Public Affairs. This fall I begin the Ph.D. in Higher Education Leadership, Management and Policy at Seton Hall, so I write as someone who is joining the University rather than approaching it from the outside. That also means I want to be straightforward with the committee about where my profile matches this search and where it does not.</w:t>
      </w:r>
    </w:p>
    <w:p>
      <w:pPr>
        <w:spacing w:after="200" w:before="0"/>
        <w:jc w:val="left"/>
      </w:pPr>
      <w:r>
        <w:rPr>
          <w:rFonts w:ascii="Garamond" w:cs="Garamond" w:eastAsia="Garamond" w:hAnsi="Garamond"/>
          <w:b w:val="false"/>
          <w:bCs w:val="false"/>
          <w:i w:val="false"/>
          <w:iCs w:val="false"/>
          <w:color w:val="444444"/>
          <w:sz w:val="21"/>
          <w:szCs w:val="21"/>
        </w:rPr>
        <w:t xml:space="preserve">The posting describes an interest in contemporary questions associated with justice, human rights, and civil liberties. The work I have done that speaks most directly to that is my graduate research at Eastern University, which examines who is served well by institutional policy and who is not. I have executed systematic literature reviews on organizational change and student success frameworks in postsecondary education, and I have developed data-informed policy recommendations that pair quantitative usage data with qualitative stakeholder analysis, specifically on service delivery equity for non-traditional students. The method is the same one legal and political scholarship relies on — build the evidentiary record, test the claim against it, and state the recommendation plainly enough that a decision-maker can act on it.</w:t>
      </w:r>
    </w:p>
    <w:p>
      <w:pPr>
        <w:spacing w:after="200" w:before="0"/>
        <w:jc w:val="left"/>
      </w:pPr>
      <w:r>
        <w:rPr>
          <w:rFonts w:ascii="Garamond" w:cs="Garamond" w:eastAsia="Garamond" w:hAnsi="Garamond"/>
          <w:b w:val="false"/>
          <w:bCs w:val="false"/>
          <w:i w:val="false"/>
          <w:iCs w:val="false"/>
          <w:color w:val="444444"/>
          <w:sz w:val="21"/>
          <w:szCs w:val="21"/>
        </w:rPr>
        <w:t xml:space="preserve">My professional background is in regulated institutions, which has given me a practitioner's view of how law becomes administrative practice. At Société Générale I delivered federally mandated regulatory reports six weeks ahead of schedule within a $1.5M budget, which meant working directly with the reporting obligations and evidentiary standards those mandates impose. At HCL Americas, supporting Becton Dickinson and Bristol Myers Squibb, I designed submission and approval automation across 49 business lines and established centralized KPI reporting for executive decision-making — governance work in everything but name. On the teaching side, I supported assessment design, grading workflows, and academic progress monitoring for two courses enrolling 200+ students per semester, and handled student records and performance data under strict confidentiality.</w:t>
      </w:r>
    </w:p>
    <w:p>
      <w:pPr>
        <w:spacing w:after="200" w:before="0"/>
        <w:jc w:val="left"/>
      </w:pPr>
      <w:r>
        <w:rPr>
          <w:rFonts w:ascii="Garamond" w:cs="Garamond" w:eastAsia="Garamond" w:hAnsi="Garamond"/>
          <w:b w:val="false"/>
          <w:bCs w:val="false"/>
          <w:i w:val="false"/>
          <w:iCs w:val="false"/>
          <w:color w:val="444444"/>
          <w:sz w:val="21"/>
          <w:szCs w:val="21"/>
        </w:rPr>
        <w:t xml:space="preserve">The gap is the central one, and I will name it rather than write around it: I do not hold a Ph.D. in Political Science, and I do not hold a J.D. My doctorate begins this fall and is in a different field, and I have no record of publication in law and politics. If the committee is filling this line as written, I am not the candidate. I am submitting the application because the department may also be building a longer-term picture of scholars at Seton Hall whose research touches institutional policy and access, and because I would welcome the chance to be considered for teaching or collaborative work in Political Science and Public Affairs on any basis where my actual preparation is useful.</w:t>
      </w:r>
    </w:p>
    <w:p>
      <w:pPr>
        <w:spacing w:after="200" w:before="0"/>
        <w:jc w:val="left"/>
      </w:pPr>
      <w:r>
        <w:rPr>
          <w:rFonts w:ascii="Garamond" w:cs="Garamond" w:eastAsia="Garamond" w:hAnsi="Garamond"/>
          <w:b w:val="false"/>
          <w:bCs w:val="false"/>
          <w:i w:val="false"/>
          <w:iCs w:val="false"/>
          <w:color w:val="444444"/>
          <w:sz w:val="21"/>
          <w:szCs w:val="21"/>
        </w:rPr>
        <w:t xml:space="preserve">What I would bring is a researcher who is already on campus, who writes for decision-makers rather than only for the field, and who has spent thirteen years watching policy meet implementation in organizations that cannot afford to get it wrong. Thank you for the time you have given this letter, and for the committee's consideration.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