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Law, Regulation &amp; Public Policy in Institutional Practice  ·  Incoming Seton Hall Doctoral Researcher</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Incoming Seton Hall doctoral student in Higher Education Leadership, Management and Policy whose graduate research centers on institutional policy, governance, and equity of access. Research practice to date has combined systematic literature review with data-informed policy recommendations, integrating quantitative usage data and qualitative stakeholder analysis. This scholarly work sits on top of 13+ years of professional experience inside heavily regulated organizations, including delivery of federally mandated regulatory reports six weeks ahead of schedule within a $1.5M budget at Société Générale. Currently completing an MBA with a 3.87 GPA.</w:t>
      </w:r>
    </w:p>
    <w:p>
      <w:pPr>
        <w:spacing w:after="60" w:before="100"/>
      </w:pPr>
      <w:r>
        <w:rPr>
          <w:rFonts w:ascii="Garamond" w:cs="Garamond" w:eastAsia="Garamond" w:hAnsi="Garamond"/>
          <w:b w:val="false"/>
          <w:bCs w:val="false"/>
          <w:i w:val="false"/>
          <w:iCs w:val="false"/>
          <w:color w:val="555555"/>
          <w:sz w:val="20"/>
          <w:szCs w:val="20"/>
        </w:rPr>
        <w:t xml:space="preserve">Course-side experience includes supporting the full lifecycle of two high-enrollment courses serving 200+ students per semester — assessment design, grading workflows, grade-change documentation, and academic progress monitoring in close collaboration with faculty. Known for turning informal departmental practice into documented, repeatable process that holds up under audit and accreditation review, and for exercising discretion with confidential student, personnel, and financial information.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 building the evidentiary base for institutional policy argument.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integrating quantitative usage data with qualitative stakeholder analysis to improve support delivery for non-traditional students, with attention to equity of access.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spacing w:after="20" w:before="120"/>
      </w:pPr>
      <w:r>
        <w:rPr>
          <w:rFonts w:ascii="Garamond" w:cs="Garamond" w:eastAsia="Garamond" w:hAnsi="Garamond"/>
          <w:b w:val="false"/>
          <w:bCs w:val="false"/>
          <w:i w:val="false"/>
          <w:iCs w:val="false"/>
          <w:color w:val="888888"/>
          <w:sz w:val="19"/>
          <w:szCs w:val="19"/>
        </w:rPr>
        <w:t xml:space="preserve">Research interests: Institutional policy, governance and access  ·  Data-informed decision-making and continuous improvement  ·  Non-traditional student persistence and service delivery equity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Research Design &amp; Systematic Literature Review</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Policy Analysis &amp; Data-Informed Recommendations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Regulatory &amp; Compliance Reporting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Assessment Design &amp; Grading Workflows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Budget Oversight &amp; Vendor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HR &amp; Staffing Workflows (Hiring, Onboarding, Timekeeping)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