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00"/>
          <w:sz w:val="48"/>
          <w:szCs w:val="48"/>
        </w:rPr>
        <w:t xml:space="preserve">MAX MIHIR OZA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201 247 1371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120" w:before="80"/>
      </w:pPr>
    </w:p>
    <w:p>
      <w:pPr>
        <w:spacing w:after="24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August 24, 2026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2C2C2C"/>
          <w:sz w:val="22"/>
          <w:szCs w:val="22"/>
        </w:rPr>
        <w:t xml:space="preserve">Search Committee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Adjunct Instructor POOL - Arabic Search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Department of Languages, Literatures and Cultures  ·  Seton Hall University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South Orange, New Jersey</w:t>
      </w:r>
    </w:p>
    <w:p>
      <w:pPr>
        <w:spacing w:after="280" w:before="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19"/>
          <w:szCs w:val="19"/>
        </w:rPr>
        <w:t xml:space="preserve">Re: Adjunct Instructor POOL - Arabic (Job No. 496691)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C2C2C"/>
          <w:sz w:val="21"/>
          <w:szCs w:val="21"/>
        </w:rPr>
        <w:t xml:space="preserve">Dear Members of the Search Committee,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am writing regarding the Adjunct Instructor pool for Arabic in the Department of Languages, Literatures and Cultures. This fall I begin the Ph.D. in Higher Education Leadership, Management and Policy at Seton Hall, and part of my reason for writing is that I would like to contribute to the University I am joining, not only study within it. Because this is a two-year pool rather than a single opening, I want to be candid about which part of the posting I can genuinely serve.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will state the disqualifying gap first, because it deserves to be first: I am not a fluent speaker of Arabic and I have not taught Arabic. Those are stated requirements, and no framing of my other experience changes that. I am not asking the committee to treat my background as a substitute for language proficiency.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What I can speak to is everything the posting describes around the language itself. As a Graduate Assistant at Eastern University I managed the full course lifecycle for two high-enrollment courses serving 200+ students per semester: Canvas and Brightspace administration, section setup, enrollment monitoring, textbook procurement, and academic records maintenance. I supported assessment design and grading workflows with course faculty, kept grade-change documentation in order, and submitted records on deadline. I was also the first point of contact for student questions, which in practice meant the same work an instructor does in office hours — sorting what a student can solve themselves, what needs the faculty member, and what needs advising, then following each one to resolution.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operational habits behind that come from thirteen years outside the academy. At Interpublic Group I coordinated enterprise system implementations for 600 users across multiple subsidiary agencies and maintained the status trackers senior leadership relied on; at Mangu Publishers I built standardized knowledge management and records infrastructure, retiring 30+ outdated materials and improving information retrieval efficiency by 50%. Departments running multiple sections with rotating part-time instructors tend to need exactly that: materials that stay current, records that stay findable, and a documented way of doing things that survives turnover.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If the department ever has need for course support, instructional technology work, or program coordination alongside its language instruction, I would be glad to be considered. Thank you for reading an application that names its own limits, and for the department's consideration.</w:t>
      </w:r>
    </w:p>
    <w:p>
      <w:pPr>
        <w:spacing w:after="240" w:before="1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Sincerely,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Max Mihir Oza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180 Littleton Rd, Parsippany, NJ 07054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201 247 1371  ·  ozamihir@shu.edu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2026-08-14T04:45:25.921Z</dcterms:created>
  <dcterms:modified xsi:type="dcterms:W3CDTF">2026-08-14T04:45:25.921Z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