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Course Delivery Support &amp; Canvas Administration  ·  Incoming Seton Hall Doctoral Student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Higher education professional with direct experience running the operational side of instruction: Canvas and Brightspace administration, section setup, assignment and assessment support, grading workflows, prompt grade submission, and academic records maintenance across two high-enrollment courses serving 200+ students per semester. Served as first point of contact for student questions, triaging routine inquiries, escalating complex cases to faculty, and tracking referrals to advising through to resolution. Currently completing an MBA with a 3.87 GPA and beginning doctoral study at Seton Hall this fall.</w:t>
      </w:r>
    </w:p>
    <w:p>
      <w:pPr>
        <w:spacing w:after="60" w:before="100"/>
      </w:pPr>
      <w:r>
        <w:rPr>
          <w:rFonts w:ascii="Garamond" w:cs="Garamond" w:eastAsia="Garamond" w:hAnsi="Garamond"/>
          <w:b w:val="false"/>
          <w:bCs w:val="false"/>
          <w:i w:val="false"/>
          <w:iCs w:val="false"/>
          <w:color w:val="555555"/>
          <w:sz w:val="20"/>
          <w:szCs w:val="20"/>
        </w:rPr>
        <w:t xml:space="preserve">Graduate research has focused on how students actually adopt and engage with instructional technology in LMS environments, which informs a practical interest in building interactive, well-supported courses rather than simply posting materials online. Thirteen-plus years of operations and program management experience underneath — documented process, reliable trackers, and discretion with confidential student records.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platform optimization and institutional effectiveness.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student success frameworks, organizational change, and digital transformation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usage data with qualitative stakeholder analysis to improve support delivery for non-traditional students.</w:t>
      </w:r>
    </w:p>
    <w:p>
      <w:pPr>
        <w:spacing w:after="20" w:before="120"/>
      </w:pPr>
      <w:r>
        <w:rPr>
          <w:rFonts w:ascii="Garamond" w:cs="Garamond" w:eastAsia="Garamond" w:hAnsi="Garamond"/>
          <w:b w:val="false"/>
          <w:bCs w:val="false"/>
          <w:i w:val="false"/>
          <w:iCs w:val="false"/>
          <w:color w:val="888888"/>
          <w:sz w:val="19"/>
          <w:szCs w:val="19"/>
        </w:rPr>
        <w:t xml:space="preserve">Research interests: Instructional technology adoption and adult learner engagement  ·  Academic operations and institutional effectiveness  ·  Non-traditional student persistence and service delivery equity  ·  Data-informed continuous improvement</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Course Lifecycle Support &amp; Section Setup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Assignment, Assessment &amp; Grading Workflows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Records, Grade Submission &amp; Progress Monitoring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Advising Referrals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Instructional Technology Adoption &amp; Adult Learner Engagement Research</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Textbook Procurement &amp; Departmental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Event, Open House &amp; Program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