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pacing w:val="120"/>
          <w:sz w:val="52"/>
          <w:szCs w:val="52"/>
        </w:rPr>
        <w:t xml:space="preserve">MAX MIHIR OZA</w:t>
      </w:r>
    </w:p>
    <w:p>
      <w:pPr>
        <w:spacing w:after="60" w:before="0"/>
        <w:jc w:val="center"/>
      </w:pPr>
      <w:r>
        <w:rPr>
          <w:rFonts w:ascii="Garamond" w:cs="Garamond" w:eastAsia="Garamond" w:hAnsi="Garamond"/>
          <w:b w:val="false"/>
          <w:bCs w:val="false"/>
          <w:i/>
          <w:iCs/>
          <w:color w:val="888888"/>
          <w:sz w:val="20"/>
          <w:szCs w:val="20"/>
        </w:rPr>
        <w:t xml:space="preserve">Business Writing &amp; Professional Communication  ·  13+ Years Inside the Organizations Students Are Writing For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Parsippany, NJ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(201) 247-1371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ozamihir@shu.edu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linkedin.com/in/mihir-oza</w:t>
      </w:r>
    </w:p>
    <w:p>
      <w:pPr>
        <w:pBdr>
          <w:bottom w:val="single" w:color="CCCCCC" w:sz="6"/>
        </w:pBdr>
        <w:spacing w:after="80" w:before="80"/>
      </w:pP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PROFILE</w:t>
      </w:r>
    </w:p>
    <w:p>
      <w:pPr>
        <w:spacing w:after="6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MBA candidate (3.87 GPA, Organizational Management) with 13+ years of corporate experience across financial services, pharmaceutical, advertising, and publishing organizations — the working world business writing courses prepare students to enter. Professional writing has been the daily instrument of that work: federally mandated regulatory reports, monthly executive briefings, status trackers for senior leadership, standard operating procedures, and a knowledge management rebuild that retired 30+ outdated materials and improved information retrieval efficiency by 50%. Begins the Ph.D. in Higher Education Leadership, Management and Policy at Seton Hall this fall.</w:t>
      </w:r>
    </w:p>
    <w:p>
      <w:pPr>
        <w:spacing w:after="6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Classroom-side experience comes from supporting two high-enrollment courses serving 200+ students per semester: assessment design, grading workflows, grade-change documentation, and academic progress monitoring alongside course faculty, plus Canvas and Brightspace administration and first-contact response to student questions. Comfortable giving direct, usable feedback on written work and handling student records with strict confidentiality.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EDUCATION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Ph.D. in Higher Education Leadership, Management and Policy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Enrolled Fall 2026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Seton Hall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South Orange, NJ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Master of Business Administration, Organizational Management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Expected Fall 2026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GPA: 3.87 / 4.0   ·   Concentrations: Human Resources · Artificial Intelligence · Sustainable Development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Relevant coursework: Organizational Change &amp; Development · Data Analytics for Decision-Making · Technology Strategy · Research Methods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Bachelor of Science in Business Administration, Marketing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2010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Drexel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Philadelphia, PA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HIGHER EDUCATION EXPERIENCE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Graduate Assistant — Academic &amp; Course Support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May – Dec 2025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Supported assessment design, grading workflows, grade-change documentation, and academic progress monitoring in close collaboration with course faculty.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Managed full course lifecycle across two high-enrollment courses (200+ students per semester) — LMS administration (Canvas / Brightspace), section setup, enrollment monitoring, textbook procurement, and academic records maintenance.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Served as first point of contact for student inquiries; triaged routine questions, escalated complex cases to faculty, and coordinated referrals to advising offices, tracking each item through resolution.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Handled student records and performance data with strict confidentiality; surfaced at-risk students through trend analysis and produced formal reports informing targeted instructional interventions.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OPERATIONS &amp; ADMINISTRATIVE EXPERIENCE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PM &amp; Technical Lead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Mangu Publishers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Parsippany,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Jan 2023 – Dec 2025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Built standardized knowledge management and records infrastructure — retiring 30+ outdated materials and improving information retrieval efficiency by 50%.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Led full lifecycle implementation of a resource-matching platform; conducted intake sessions with 50+ stakeholders and delivered 12 enhancements across six cycles.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Technical Project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Interpublic Group of Companies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Jersey City,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2023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Delivered platform migration projects 75% ahead of schedule; facilitated monthly executive briefings and maintained status trackers for senior leadership.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Coordinated enterprise system implementations (Salesforce, Microsoft Dynamics 365, Maximo, Active Directory) for 600 users across multiple subsidiary agencies.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Program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HCL Americas (Becton Dickinson &amp; Bristol Myers Squibb)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Franklin Lakes,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Apr 2021 – Aug 2022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Designed submission and approval automation across 49 business lines, eliminating manual intake processes and generating $10M in documented annual savings.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Directed three cloud migration projects and a 10,000-user client migration; established centralized KPI reporting dashboards for executive decision-making.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Project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Millennium Systems International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Parsippany,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Nov 2019 – Dec 2020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Chaired a $50M annual budget committee — reviewing spend, vendor commitments, and funding priorities; achieved 90% quarterly deliverable completion.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Increased development productivity 45% through workflow optimization; served as Scrum Master across three annual releases.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Technical Product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Société Générale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New York, NY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Sep 2017 – Oct 2019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Delivered federally mandated regulatory reports six weeks ahead of schedule within a $1.5M budget.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Scaled a team from 6 to 55 — managing hiring documentation, onboarding, coverage planning, and timekeeping — realizing $800K in operational savings.</w:t>
      </w:r>
    </w:p>
    <w:p>
      <w:pPr>
        <w:spacing w:after="20" w:before="12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Earlier Roles: Technical Project Manager, progressive responsibilities — Mizuho Bank, Jersey City, NJ (2016–2017)  ·  L'Oréal USA, Berkeley Heights, NJ (2015)  ·  Investors Bank, Short Hills, NJ (2013–2015)  ·  Financial Executives International, Morristown, NJ (2011–2013)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RESEARCH &amp; SCHOLARLY ENGAGEMENT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Graduate Research — MBA Program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2024 – Present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Executed systematic literature reviews on organizational change, digital transformation, and student success frameworks in postsecondary education.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Developed data-informed policy recommendations integrating quantitative usage data with qualitative stakeholder analysis to improve support delivery for non-traditional students.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Conducted applied research on technology adoption and engagement patterns among adult learners within LMS environments; findings informed recommendations on institutional effectiveness and platform optimization.</w:t>
      </w:r>
    </w:p>
    <w:p>
      <w:pPr>
        <w:spacing w:after="20" w:before="12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Research interests: Professional communication and organizational change  ·  Non-traditional student persistence and service delivery equity  ·  Data-informed decision-making and continuous improvement  ·  Digital transformation in postsecondary institutions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SKILLS &amp; SYSTEMS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Business &amp; Professional Writing (Executive Reporting, SOPs, Documentation)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Knowledge Management &amp; Records Infrastructure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Assessment Design, Grading &amp; Student Feedback Workflows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LMS &amp; Student Platforms (Canvas, Brightspace, Moodle)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Academic Operations &amp; Course Lifecycle Support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Stakeholder, Faculty &amp; Executive Communication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Corporate Operations Across Financial Services, Pharma &amp; Advertising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Student Inquiry Triage &amp; Advising Referrals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Data Analysis &amp; Reporting (Power BI, Tableau)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Confidential &amp; FERPA-Sensitive Records Handling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Procurement, Budget Tracking &amp; Vendor Coordination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Microsoft 365, SharePoint, Excel, Teams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Project Management (Agile, Scrum, Waterfall; PMP in progress)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Applied Institutional Analytics &amp; Research Design</w:t>
            </w:r>
          </w:p>
        </w:tc>
      </w:tr>
    </w:tbl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CERTIFICATIONS &amp; AFFILIATIONS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Project Management Institute (PMI) — NJ Chapter Member &amp; Volunteer, 2024–Present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Software Engineering Bootcamp — General Assembly, 2025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Goode Education Group — Clean Energy Program Fellow, 2024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Building Science Principles — Building Performance Institute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ADDITIONAL</w:t>
      </w:r>
    </w:p>
    <w:p>
      <w:pPr>
        <w:spacing w:after="2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Martial Arts — Jeet Kune Do (Fist of Interception Institute), Level 3 student under Vincent Benitez</w:t>
      </w:r>
    </w:p>
    <w:sectPr>
      <w:pgSz w:h="16838" w:w="11906"/>
      <w:pgMar w:bottom="720" w:footer="720" w:gutter="0" w:header="720" w:left="900" w:right="900" w:top="720"/>
      <w:cols w:space="72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555555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2026-08-14T04:44:38.700Z</dcterms:created>
  <dcterms:modified xsi:type="dcterms:W3CDTF">2026-08-14T04:44:38.701Z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