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00"/>
          <w:sz w:val="48"/>
          <w:szCs w:val="48"/>
        </w:rPr>
        <w:t xml:space="preserve">MAX MIHIR OZA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201 247 1371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120" w:before="80"/>
      </w:pPr>
    </w:p>
    <w:p>
      <w:pPr>
        <w:spacing w:after="24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24, 2026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2C2C2C"/>
          <w:sz w:val="22"/>
          <w:szCs w:val="22"/>
        </w:rPr>
        <w:t xml:space="preserve">Dr. Shigeru Osuka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Adjunct Instructor - Japanese Search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Department of Languages, Literatures and Cultures  ·  Seton Hall University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South Orange, New Jersey</w:t>
      </w:r>
    </w:p>
    <w:p>
      <w:pPr>
        <w:spacing w:after="280" w:before="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19"/>
          <w:szCs w:val="19"/>
        </w:rPr>
        <w:t xml:space="preserve">Re: Adjunct Instructor - Japanese (Job No. 496653)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C2C2C"/>
          <w:sz w:val="21"/>
          <w:szCs w:val="21"/>
        </w:rPr>
        <w:t xml:space="preserve">Dear Dr. Osuka,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am writing about the Adjunct Instructor position in Japanese. I begin the Ph.D. in Higher Education Leadership, Management and Policy at Seton Hall this fall, so I am writing as an incoming member of the University community rather than an outside applicant — and, in the same spirit, I want to be honest with you about the fit before asking for any of your time.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do not speak Japanese fluently and I have never taught Japanese. Both are required for this position, and I would not want you to read further under any other impression. I am writing because the posting also describes a substantial body of work around the language instruction itself, and because I would like the department to know I am available for it.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That work is what I did as a Graduate Assistant at Eastern University. I administered Canvas and Brightspace for two high-enrollment courses of 200+ students per semester, handled section setup and enrollment monitoring, supported assessment design and grading workflows with course faculty, kept grade-change documentation clean, and submitted records on deadline. The posting's preferred qualification — incorporating technology into instruction to build a well-rounded, interactive experience — is also the subject of my graduate research, an applied study of how adult learners actually adopt and engage with LMS tools, which I translated into recommendations for platform optimization rather than leaving as findings on a page.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habits behind that come from thirteen years of program management. At HCL Americas, supporting Becton Dickinson and Bristol Myers Squibb, I designed submission and approval automation across 49 business lines and built the centralized KPI dashboards leadership used to make decisions; at Millennium Systems International I raised development productivity 45% through workflow optimization while serving as Scrum Master across three annual releases. Reduced to its essentials, that is the same problem a language department faces every term: many moving sections, shared standards, and limited coordination time.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If the department ever needs course administration, instructional technology support, or help with program and event coordination alongside its instructional hires, I would be glad to hear from you. Thank you for your time and for the work the department does.</w:t>
      </w:r>
    </w:p>
    <w:p>
      <w:pPr>
        <w:spacing w:after="240" w:before="1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Sincerely,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Max Mihir Oza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180 Littleton Rd, Parsippany, NJ 07054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201 247 1371  ·  ozamihir@shu.edu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2026-08-14T04:45:25.921Z</dcterms:created>
  <dcterms:modified xsi:type="dcterms:W3CDTF">2026-08-14T04:45:25.921Z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