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Multi-Section Course Administration &amp; Instructional Technology  ·  Incoming Seton Hall Doctoral Student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Course-support professional experienced in the mechanics of running multiple sections well: Canvas and Brightspace administration, enrollment monitoring, assignment and test workflows, grading and grade-change documentation, timely grade submission, and academic records maintenance for two courses enrolling 200+ students per semester. Also served as first point of contact for student questions, escalating to faculty and coordinating advising referrals through resolution. Begins the Ph.D. in Higher Education Leadership, Management and Policy at Seton Hall this fall.</w:t>
      </w:r>
    </w:p>
    <w:p>
      <w:pPr>
        <w:spacing w:after="60" w:before="100"/>
      </w:pPr>
      <w:r>
        <w:rPr>
          <w:rFonts w:ascii="Garamond" w:cs="Garamond" w:eastAsia="Garamond" w:hAnsi="Garamond"/>
          <w:b w:val="false"/>
          <w:bCs w:val="false"/>
          <w:i w:val="false"/>
          <w:iCs w:val="false"/>
          <w:color w:val="555555"/>
          <w:sz w:val="20"/>
          <w:szCs w:val="20"/>
        </w:rPr>
        <w:t xml:space="preserve">The preferred qualification the posting names — incorporating technology into instruction to create a well-rounded, interactive learning experience — is the subject of active graduate research: applied study of technology adoption and engagement patterns among adult learners in LMS environments, with findings translated into platform optimization recommendations. Underneath that, 13+ years in operations and program management, and consistent discretion with confidential student and personnel records.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platform optimization and institutional effectiveness.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usage data with qualitative stakeholder analysis to improve support delivery for non-traditional students.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student success frameworks, organizational change, and digital transformation in postsecondary education.</w:t>
      </w:r>
    </w:p>
    <w:p>
      <w:pPr>
        <w:spacing w:after="20" w:before="120"/>
      </w:pPr>
      <w:r>
        <w:rPr>
          <w:rFonts w:ascii="Garamond" w:cs="Garamond" w:eastAsia="Garamond" w:hAnsi="Garamond"/>
          <w:b w:val="false"/>
          <w:bCs w:val="false"/>
          <w:i w:val="false"/>
          <w:iCs w:val="false"/>
          <w:color w:val="888888"/>
          <w:sz w:val="19"/>
          <w:szCs w:val="19"/>
        </w:rPr>
        <w:t xml:space="preserve">Research interests: Technology-enhanced instruction and learner engagement  ·  Academic operations and institutional effectiveness  ·  Non-traditional student persistence and service delivery equity  ·  Data-informed continuous improvement</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Multi-Section Course Administration &amp; Enrollment Monitoring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Grading Workflows &amp; Timely Grade Submission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Records &amp; Academic Progress Monitoring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Instructional Technology &amp; Interactive Learning Support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&amp; Grade-Change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Advising Referrals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Departmental Meetings, Events &amp; Program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Textbook Procurement &amp; Vendor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