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pacing w:val="120"/>
          <w:sz w:val="52"/>
          <w:szCs w:val="52"/>
        </w:rPr>
        <w:t xml:space="preserve">MAX MIHIR OZA</w:t>
      </w:r>
    </w:p>
    <w:p>
      <w:pPr>
        <w:spacing w:after="60" w:before="0"/>
        <w:jc w:val="center"/>
      </w:pPr>
      <w:r>
        <w:rPr>
          <w:rFonts w:ascii="Garamond" w:cs="Garamond" w:eastAsia="Garamond" w:hAnsi="Garamond"/>
          <w:b w:val="false"/>
          <w:bCs w:val="false"/>
          <w:i/>
          <w:iCs/>
          <w:color w:val="888888"/>
          <w:sz w:val="20"/>
          <w:szCs w:val="20"/>
        </w:rPr>
        <w:t xml:space="preserve">Writing-Intensive Professional Practice &amp; Course Support  ·  Incoming Seton Hall Doctoral Student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Parsippany, NJ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(201) 247-1371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ozamihir@shu.edu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linkedin.com/in/mihir-oza</w:t>
      </w:r>
    </w:p>
    <w:p>
      <w:pPr>
        <w:pBdr>
          <w:bottom w:val="single" w:color="CCCCCC" w:sz="6"/>
        </w:pBdr>
        <w:spacing w:after="80" w:before="80"/>
      </w:pP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PROFILE</w:t>
      </w:r>
    </w:p>
    <w:p>
      <w:pPr>
        <w:spacing w:after="6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Incoming Seton Hall doctoral student in Higher Education Leadership, Management and Policy with hands-on experience in the weekly mechanics of a college course: grading workflows, assessment design, office-hours-style student inquiry triage, and academic progress monitoring across two high-enrollment sections serving 200+ students, coordinated closely with course faculty and delivered through Canvas and Brightspace.</w:t>
      </w:r>
    </w:p>
    <w:p>
      <w:pPr>
        <w:spacing w:after="6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Thirteen-plus years of writing for readers who have to act on the page — standard operating procedures, records and knowledge management systems, executive briefings, and federally mandated regulatory reports — plus graduate research built on systematic literature reviews of organizational change and student success scholarship. Currently completing an MBA with a 3.87 GPA.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EDUCATION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Ph.D. in Higher Education Leadership, Management and Policy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Enrolled Fall 2026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Seton Hall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South Orange, NJ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Master of Business Administration, Organizational Management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Expected Fall 2026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GPA: 3.87 / 4.0   ·   Concentrations: Human Resources · Artificial Intelligence · Sustainable Development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Relevant coursework: Organizational Change &amp; Development · Data Analytics for Decision-Making · Technology Strategy · Research Methods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Bachelor of Science in Business Administration, Marketing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2010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Drexel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Philadelphia, PA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HIGHER EDUCATION EXPERIENCE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Graduate Assistant — Academic &amp; Course Support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May – Dec 2025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Supported assessment design, grading workflows, grade-change documentation, and academic progress monitoring in close collaboration with course faculty.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Served as first point of contact for student inquiries; triaged routine questions, escalated complex cases to faculty, and coordinated referrals to advising offices, tracking each item through resolution.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Managed full course lifecycle across two high-enrollment courses (200+ students per semester) — LMS administration (Canvas / Brightspace), section setup, enrollment monitoring, textbook procurement, and academic records maintenance.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Handled student records and performance data with strict confidentiality; surfaced at-risk students through trend analysis and produced formal reports informing targeted instructional interventions.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OPERATIONS &amp; ADMINISTRATIVE EXPERIENCE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PM &amp; Technical Lead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Mangu Publishers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Parsippany,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Jan 2023 – Dec 2025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Built standardized knowledge management and records infrastructure — retiring 30+ outdated materials and improving information retrieval efficiency by 50%.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Led full lifecycle implementation of a resource-matching platform; conducted intake sessions with 50+ stakeholders and delivered 12 enhancements across six cycles.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Technical Project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Interpublic Group of Companies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Jersey City,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2023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Delivered platform migration projects 75% ahead of schedule; facilitated monthly executive briefings and maintained status trackers for senior leadership.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Coordinated enterprise system implementations (Salesforce, Microsoft Dynamics 365, Maximo, Active Directory) for 600 users across multiple subsidiary agencies.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Program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HCL Americas (Becton Dickinson &amp; Bristol Myers Squibb)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Franklin Lakes,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Apr 2021 – Aug 2022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Designed submission and approval automation across 49 business lines, eliminating manual intake processes and generating $10M in documented annual savings.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Directed three cloud migration projects and a 10,000-user client migration; established centralized KPI reporting dashboards for executive decision-making.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Project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Millennium Systems International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Parsippany,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Nov 2019 – Dec 2020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Chaired a $50M annual budget committee — reviewing spend, vendor commitments, and funding priorities; achieved 90% quarterly deliverable completion.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Increased development productivity 45% through workflow optimization; served as Scrum Master across three annual releases.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Technical Product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Société Générale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New York, NY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Sep 2017 – Oct 2019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Delivered federally mandated regulatory reports six weeks ahead of schedule within a $1.5M budget.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Scaled a team from 6 to 55 — managing hiring documentation, onboarding, coverage planning, and timekeeping — realizing $800K in operational savings.</w:t>
      </w:r>
    </w:p>
    <w:p>
      <w:pPr>
        <w:spacing w:after="20" w:before="12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Earlier Roles: Technical Project Manager, progressive responsibilities — Mizuho Bank, Jersey City, NJ (2016–2017)  ·  L'Oréal USA, Berkeley Heights, NJ (2015)  ·  Investors Bank, Short Hills, NJ (2013–2015)  ·  Financial Executives International, Morristown, NJ (2011–2013)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RESEARCH &amp; SCHOLARLY ENGAGEMENT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Graduate Research — MBA Program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2024 – Present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Executed systematic literature reviews on organizational change, digital transformation, and student success frameworks in postsecondary education, synthesizing disparate sources into argued written analyses.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Developed data-informed policy recommendations integrating quantitative usage data with qualitative stakeholder analysis to improve support delivery for non-traditional students.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Conducted applied research on technology adoption and engagement patterns among adult learners within LMS environments; findings informed recommendations on institutional effectiveness and platform optimization.</w:t>
      </w:r>
    </w:p>
    <w:p>
      <w:pPr>
        <w:spacing w:after="20" w:before="12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Research interests: Non-traditional student persistence and service delivery equity  ·  Academic operations and institutional effectiveness  ·  Data-informed decision-making and continuous improvement  ·  Digital transformation in postsecondary institutions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SKILLS &amp; SYSTEMS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Grading Workflows, Feedback &amp; Assessment Design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Student Inquiry Triage, Office Hours &amp; Referral Coordination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Systematic Literature Review &amp; Research Synthesis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SOPs, Trackers &amp; Professional Writing for Working Readers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LMS &amp; Student Platforms (Canvas, Brightspace, Moodle)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Academic Progress Monitoring &amp; At-Risk Student Reporting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Registration, Enrollment &amp; Course Lifecycle Support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Confidential &amp; FERPA-Sensitive Records Handling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Stakeholder, Faculty &amp; Executive Communication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Knowledge Management &amp; Records Infrastructure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Applied Institutional Analytics &amp; Research Design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Microsoft 365, SharePoint, Excel, Teams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Data Analysis &amp; Reporting (Power BI, Tableau)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Event, Open House &amp; Program Coordination</w:t>
            </w:r>
          </w:p>
        </w:tc>
      </w:tr>
    </w:tbl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CERTIFICATIONS &amp; AFFILIATIONS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Project Management Institute (PMI) — NJ Chapter Member &amp; Volunteer, 2024–Present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Software Engineering Bootcamp — General Assembly, 2025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Goode Education Group — Clean Energy Program Fellow, 2024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Building Science Principles — Building Performance Institute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ADDITIONAL</w:t>
      </w:r>
    </w:p>
    <w:p>
      <w:pPr>
        <w:spacing w:after="2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Martial Arts — Jeet Kune Do (Fist of Interception Institute), Level 3 student under Vincent Benitez</w:t>
      </w:r>
    </w:p>
    <w:sectPr>
      <w:pgSz w:h="16838" w:w="11906"/>
      <w:pgMar w:bottom="720" w:footer="720" w:gutter="0" w:header="720" w:left="900" w:right="900" w:top="720"/>
      <w:cols w:space="72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555555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2026-08-14T04:44:38.700Z</dcterms:created>
  <dcterms:modified xsi:type="dcterms:W3CDTF">2026-08-14T04:44:38.701Z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