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left"/>
      </w:pPr>
      <w:r>
        <w:rPr>
          <w:rFonts w:ascii="Calibri" w:cs="Calibri" w:eastAsia="Calibri" w:hAnsi="Calibri"/>
          <w:b w:val="false"/>
          <w:bCs w:val="false"/>
          <w:i w:val="false"/>
          <w:iCs w:val="false"/>
          <w:color w:val="1A1A1A"/>
          <w:spacing w:val="100"/>
          <w:sz w:val="48"/>
          <w:szCs w:val="48"/>
        </w:rPr>
        <w:t xml:space="preserve">MAX MIHIR OZA</w:t>
      </w:r>
    </w:p>
    <w:p>
      <w:pPr>
        <w:spacing w:after="80" w:before="0"/>
        <w:jc w:val="left"/>
      </w:pPr>
      <w:r>
        <w:rPr>
          <w:rFonts w:ascii="Calibri" w:cs="Calibri" w:eastAsia="Calibri" w:hAnsi="Calibri"/>
          <w:b w:val="false"/>
          <w:bCs w:val="false"/>
          <w:i w:val="false"/>
          <w:iCs w:val="false"/>
          <w:color w:val="888888"/>
          <w:sz w:val="18"/>
          <w:szCs w:val="18"/>
        </w:rPr>
        <w:t xml:space="preserve">Parsippany, NJ</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201 247 1371</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ozamihir@shu.edu</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linkedin.com/in/mihir-oza</w:t>
      </w:r>
    </w:p>
    <w:p>
      <w:pPr>
        <w:pBdr>
          <w:bottom w:val="single" w:color="CCCCCC" w:sz="6"/>
        </w:pBdr>
        <w:spacing w:after="120" w:before="80"/>
      </w:pPr>
    </w:p>
    <w:p>
      <w:pPr>
        <w:spacing w:after="240" w:before="0"/>
        <w:jc w:val="left"/>
      </w:pPr>
      <w:r>
        <w:rPr>
          <w:rFonts w:ascii="Garamond" w:cs="Garamond" w:eastAsia="Garamond" w:hAnsi="Garamond"/>
          <w:b w:val="false"/>
          <w:bCs w:val="false"/>
          <w:i w:val="false"/>
          <w:iCs w:val="false"/>
          <w:color w:val="888888"/>
          <w:sz w:val="20"/>
          <w:szCs w:val="20"/>
        </w:rPr>
        <w:t xml:space="preserve">August 24, 2026</w:t>
      </w:r>
    </w:p>
    <w:p>
      <w:pPr>
        <w:spacing w:after="60" w:before="0"/>
        <w:jc w:val="left"/>
      </w:pPr>
      <w:r>
        <w:rPr>
          <w:rFonts w:ascii="Garamond" w:cs="Garamond" w:eastAsia="Garamond" w:hAnsi="Garamond"/>
          <w:b/>
          <w:bCs/>
          <w:i w:val="false"/>
          <w:iCs w:val="false"/>
          <w:color w:val="2C2C2C"/>
          <w:sz w:val="22"/>
          <w:szCs w:val="22"/>
        </w:rPr>
        <w:t xml:space="preserve">Search Committee</w:t>
      </w:r>
    </w:p>
    <w:p>
      <w:pPr>
        <w:spacing w:after="60" w:before="0"/>
        <w:jc w:val="left"/>
      </w:pPr>
      <w:r>
        <w:rPr>
          <w:rFonts w:ascii="Garamond" w:cs="Garamond" w:eastAsia="Garamond" w:hAnsi="Garamond"/>
          <w:b w:val="false"/>
          <w:bCs w:val="false"/>
          <w:i w:val="false"/>
          <w:iCs w:val="false"/>
          <w:color w:val="555555"/>
          <w:sz w:val="20"/>
          <w:szCs w:val="20"/>
        </w:rPr>
        <w:t xml:space="preserve">Adjunct Professor-Introduction to Ethics and Introduction to Biomedical Ethics Search</w:t>
      </w:r>
    </w:p>
    <w:p>
      <w:pPr>
        <w:spacing w:after="60" w:before="0"/>
        <w:jc w:val="left"/>
      </w:pPr>
      <w:r>
        <w:rPr>
          <w:rFonts w:ascii="Garamond" w:cs="Garamond" w:eastAsia="Garamond" w:hAnsi="Garamond"/>
          <w:b w:val="false"/>
          <w:bCs w:val="false"/>
          <w:i w:val="false"/>
          <w:iCs w:val="false"/>
          <w:color w:val="555555"/>
          <w:sz w:val="20"/>
          <w:szCs w:val="20"/>
        </w:rPr>
        <w:t xml:space="preserve">Department of Philosophy  ·  Seton Hall University</w:t>
      </w:r>
    </w:p>
    <w:p>
      <w:pPr>
        <w:spacing w:after="60" w:before="0"/>
        <w:jc w:val="left"/>
      </w:pPr>
      <w:r>
        <w:rPr>
          <w:rFonts w:ascii="Garamond" w:cs="Garamond" w:eastAsia="Garamond" w:hAnsi="Garamond"/>
          <w:b w:val="false"/>
          <w:bCs w:val="false"/>
          <w:i w:val="false"/>
          <w:iCs w:val="false"/>
          <w:color w:val="555555"/>
          <w:sz w:val="20"/>
          <w:szCs w:val="20"/>
        </w:rPr>
        <w:t xml:space="preserve">South Orange, New Jersey</w:t>
      </w:r>
    </w:p>
    <w:p>
      <w:pPr>
        <w:spacing w:after="280" w:before="0"/>
        <w:jc w:val="left"/>
      </w:pPr>
      <w:r>
        <w:rPr>
          <w:rFonts w:ascii="Garamond" w:cs="Garamond" w:eastAsia="Garamond" w:hAnsi="Garamond"/>
          <w:b w:val="false"/>
          <w:bCs w:val="false"/>
          <w:i/>
          <w:iCs/>
          <w:color w:val="888888"/>
          <w:sz w:val="19"/>
          <w:szCs w:val="19"/>
        </w:rPr>
        <w:t xml:space="preserve">Re: Adjunct Professor-Introduction to Ethics and Introduction to Biomedical Ethics (Job No. 496477)</w:t>
      </w:r>
    </w:p>
    <w:p>
      <w:pPr>
        <w:spacing w:after="200" w:before="0"/>
        <w:jc w:val="left"/>
      </w:pPr>
      <w:r>
        <w:rPr>
          <w:rFonts w:ascii="Garamond" w:cs="Garamond" w:eastAsia="Garamond" w:hAnsi="Garamond"/>
          <w:b w:val="false"/>
          <w:bCs w:val="false"/>
          <w:i w:val="false"/>
          <w:iCs w:val="false"/>
          <w:color w:val="2C2C2C"/>
          <w:sz w:val="21"/>
          <w:szCs w:val="21"/>
        </w:rPr>
        <w:t xml:space="preserve">Dear Members of the Search Committee,</w:t>
      </w:r>
    </w:p>
    <w:p>
      <w:pPr>
        <w:spacing w:after="200" w:before="0"/>
        <w:jc w:val="left"/>
      </w:pPr>
      <w:r>
        <w:rPr>
          <w:rFonts w:ascii="Garamond" w:cs="Garamond" w:eastAsia="Garamond" w:hAnsi="Garamond"/>
          <w:b w:val="false"/>
          <w:bCs w:val="false"/>
          <w:i w:val="false"/>
          <w:iCs w:val="false"/>
          <w:color w:val="444444"/>
          <w:sz w:val="21"/>
          <w:szCs w:val="21"/>
        </w:rPr>
        <w:t xml:space="preserve">I am writing regarding the Adjunct Professor position teaching Introduction to Ethics and Introduction to Biomedical Ethics (Job No. 496477). I begin the Ph.D. in Higher Education Leadership, Management and Policy at Seton Hall this fall, and I write as someone about to become part of the University rather than a stranger to it.</w:t>
      </w:r>
    </w:p>
    <w:p>
      <w:pPr>
        <w:spacing w:after="200" w:before="0"/>
        <w:jc w:val="left"/>
      </w:pPr>
      <w:r>
        <w:rPr>
          <w:rFonts w:ascii="Garamond" w:cs="Garamond" w:eastAsia="Garamond" w:hAnsi="Garamond"/>
          <w:b w:val="false"/>
          <w:bCs w:val="false"/>
          <w:i w:val="false"/>
          <w:iCs w:val="false"/>
          <w:color w:val="444444"/>
          <w:sz w:val="21"/>
          <w:szCs w:val="21"/>
        </w:rPr>
        <w:t xml:space="preserve">The posting sets a minimum of an M.A. in Philosophy, with a Ph.D. preferred, and I want to state without hedging that I hold neither. My graduate work is an MBA in Organizational Management, completing this fall at a 3.87 GPA, and I have no formal training in philosophy, no coursework in normative theory or bioethics, and no publication in the field. If the committee needs a philosopher — and for a course sequence like this one, that is a reasonable thing to need — my application should stop here.</w:t>
      </w:r>
    </w:p>
    <w:p>
      <w:pPr>
        <w:spacing w:after="200" w:before="0"/>
        <w:jc w:val="left"/>
      </w:pPr>
      <w:r>
        <w:rPr>
          <w:rFonts w:ascii="Garamond" w:cs="Garamond" w:eastAsia="Garamond" w:hAnsi="Garamond"/>
          <w:b w:val="false"/>
          <w:bCs w:val="false"/>
          <w:i w:val="false"/>
          <w:iCs w:val="false"/>
          <w:color w:val="444444"/>
          <w:sz w:val="21"/>
          <w:szCs w:val="21"/>
        </w:rPr>
        <w:t xml:space="preserve">What I do bring, should the search widen, is thirteen-plus years of living inside the practical side of the questions these courses examine. At Société Générale I owned federally mandated regulatory reporting, delivered six weeks ahead of schedule within a $1.5 million budget, where the obligation to disclose accurately was the whole point of the work. At HCL Americas, supporting Becton Dickinson and Bristol Myers Squibb, I designed submission and approval automation across 49 business lines in a pharmaceutical and medical device environment in which approval pathways exist precisely because patient welfare is at stake. Those are not substitutes for reading Aristotle or Beauchamp and Childress with students, but they are not nothing either.</w:t>
      </w:r>
    </w:p>
    <w:p>
      <w:pPr>
        <w:spacing w:after="200" w:before="0"/>
        <w:jc w:val="left"/>
      </w:pPr>
      <w:r>
        <w:rPr>
          <w:rFonts w:ascii="Garamond" w:cs="Garamond" w:eastAsia="Garamond" w:hAnsi="Garamond"/>
          <w:b w:val="false"/>
          <w:bCs w:val="false"/>
          <w:i w:val="false"/>
          <w:iCs w:val="false"/>
          <w:color w:val="444444"/>
          <w:sz w:val="21"/>
          <w:szCs w:val="21"/>
        </w:rPr>
        <w:t xml:space="preserve">The classroom mechanics I can speak to directly. As a Graduate Assistant at Eastern University from May to December 2025, grading student work was a substantial part of my role: I supported assessment design, grading workflows, and grade-change documentation across two courses enrolling more than 200 students a semester, and I handled student records and performance data under strict confidentiality, producing reports that identified students in difficulty early. The duties listed in this posting — teaching the course and grading student work — describe the half of that job I already do.</w:t>
      </w:r>
    </w:p>
    <w:p>
      <w:pPr>
        <w:spacing w:after="200" w:before="0"/>
        <w:jc w:val="left"/>
      </w:pPr>
      <w:r>
        <w:rPr>
          <w:rFonts w:ascii="Garamond" w:cs="Garamond" w:eastAsia="Garamond" w:hAnsi="Garamond"/>
          <w:b w:val="false"/>
          <w:bCs w:val="false"/>
          <w:i w:val="false"/>
          <w:iCs w:val="false"/>
          <w:color w:val="444444"/>
          <w:sz w:val="21"/>
          <w:szCs w:val="21"/>
        </w:rPr>
        <w:t xml:space="preserve">I would not want the Department to take a chance it does not want to take, and I have tried to be candid rather than persuasive about the credential. If the committee has flexibility, or an interest in an instructor who can bring biomedical and regulatory practice into the room alongside the texts, I would welcome the chance to discuss it. Thank you for considering this application.</w:t>
      </w:r>
    </w:p>
    <w:p>
      <w:pPr>
        <w:spacing w:after="240" w:before="120"/>
        <w:jc w:val="left"/>
      </w:pPr>
      <w:r>
        <w:rPr>
          <w:rFonts w:ascii="Garamond" w:cs="Garamond" w:eastAsia="Garamond" w:hAnsi="Garamond"/>
          <w:b w:val="false"/>
          <w:bCs w:val="false"/>
          <w:i w:val="false"/>
          <w:iCs w:val="false"/>
          <w:color w:val="444444"/>
          <w:sz w:val="21"/>
          <w:szCs w:val="21"/>
        </w:rPr>
        <w:t xml:space="preserve">Sincerely,</w:t>
      </w:r>
    </w:p>
    <w:p>
      <w:pPr>
        <w:spacing w:after="60" w:before="0"/>
        <w:jc w:val="left"/>
      </w:pPr>
      <w:r>
        <w:rPr>
          <w:rFonts w:ascii="Garamond" w:cs="Garamond" w:eastAsia="Garamond" w:hAnsi="Garamond"/>
          <w:b/>
          <w:bCs/>
          <w:i w:val="false"/>
          <w:iCs w:val="false"/>
          <w:color w:val="1A1A1A"/>
          <w:sz w:val="22"/>
          <w:szCs w:val="22"/>
        </w:rPr>
        <w:t xml:space="preserve">Max Mihir Oza</w:t>
      </w:r>
    </w:p>
    <w:p>
      <w:pPr>
        <w:spacing w:after="20" w:before="0"/>
        <w:jc w:val="left"/>
      </w:pPr>
      <w:r>
        <w:rPr>
          <w:rFonts w:ascii="Garamond" w:cs="Garamond" w:eastAsia="Garamond" w:hAnsi="Garamond"/>
          <w:b w:val="false"/>
          <w:bCs w:val="false"/>
          <w:i w:val="false"/>
          <w:iCs w:val="false"/>
          <w:color w:val="888888"/>
          <w:sz w:val="19"/>
          <w:szCs w:val="19"/>
        </w:rPr>
        <w:t xml:space="preserve">180 Littleton Rd, Parsippany, NJ 07054</w:t>
      </w:r>
    </w:p>
    <w:p>
      <w:pPr>
        <w:spacing w:after="20" w:before="0"/>
        <w:jc w:val="left"/>
      </w:pPr>
      <w:r>
        <w:rPr>
          <w:rFonts w:ascii="Garamond" w:cs="Garamond" w:eastAsia="Garamond" w:hAnsi="Garamond"/>
          <w:b w:val="false"/>
          <w:bCs w:val="false"/>
          <w:i w:val="false"/>
          <w:iCs w:val="false"/>
          <w:color w:val="888888"/>
          <w:sz w:val="19"/>
          <w:szCs w:val="19"/>
        </w:rPr>
        <w:t xml:space="preserve">201 247 1371  ·  ozamihir@shu.edu</w:t>
      </w:r>
    </w:p>
    <w:sectPr>
      <w:pgSz w:h="16838" w:w="11906"/>
      <w:pgMar w:bottom="720" w:footer="720" w:gutter="0" w:header="720" w:left="900" w:right="900" w:top="720"/>
      <w:cols w:space="72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555555"/>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2026-08-14T04:45:25.921Z</dcterms:created>
  <dcterms:modified xsi:type="dcterms:W3CDTF">2026-08-14T04:45:25.921Z</dcterms:modified>
</cp:coreProperties>
</file>

<file path=docProps/custom.xml><?xml version="1.0" encoding="utf-8"?>
<Properties xmlns="http://schemas.openxmlformats.org/officeDocument/2006/custom-properties" xmlns:vt="http://schemas.openxmlformats.org/officeDocument/2006/docPropsVTypes"/>
</file>