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Applied Ethics in Organizational Practice &amp; Course Support  ·  Incoming Seton Hall Doctoral Student</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Incoming Seton Hall doctoral student in Higher Education Leadership, Management and Policy with direct experience in the working parts of a college course — grading student work, assessment design, grade-change documentation, and academic progress monitoring across two sections serving 200+ students a semester, in close collaboration with course faculty.</w:t>
      </w:r>
    </w:p>
    <w:p>
      <w:pPr>
        <w:spacing w:after="60" w:before="100"/>
      </w:pPr>
      <w:r>
        <w:rPr>
          <w:rFonts w:ascii="Garamond" w:cs="Garamond" w:eastAsia="Garamond" w:hAnsi="Garamond"/>
          <w:b w:val="false"/>
          <w:bCs w:val="false"/>
          <w:i w:val="false"/>
          <w:iCs w:val="false"/>
          <w:color w:val="555555"/>
          <w:sz w:val="20"/>
          <w:szCs w:val="20"/>
        </w:rPr>
        <w:t xml:space="preserve">Thirteen-plus years in operations and program management have kept questions of professional obligation, confidentiality, and regulatory duty at the center of daily practice: managing federally mandated reporting, exercising discretion with confidential student, personnel, and financial records, and building process that survives audit. MBA coursework in Organizational Change and Development and Research Methods, with concentrations including Sustainable Development, completed at a 3.87 GPA.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integrating quantitative usage data with qualitative stakeholder analysis to improve support delivery for non-traditional students.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spacing w:after="20" w:before="120"/>
      </w:pPr>
      <w:r>
        <w:rPr>
          <w:rFonts w:ascii="Garamond" w:cs="Garamond" w:eastAsia="Garamond" w:hAnsi="Garamond"/>
          <w:b w:val="false"/>
          <w:bCs w:val="false"/>
          <w:i w:val="false"/>
          <w:iCs w:val="false"/>
          <w:color w:val="888888"/>
          <w:sz w:val="19"/>
          <w:szCs w:val="19"/>
        </w:rPr>
        <w:t xml:space="preserve">Research interests: Service delivery equity and non-traditional student persistence  ·  Data-informed decision-making and continuous improvement  ·  Academic operations and institutional effectiveness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Grading Student Work &amp; Assessment Design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Regulatory &amp; Compliance Reporting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Referral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Systematic Literature Review &amp; Research Synthesis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Progress Monitoring &amp; At-Risk Student Reporting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Registration, Enrollment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Event, Open House &amp; Program Coordination</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