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Professor - Information Technology Management Search</w:t>
      </w:r>
    </w:p>
    <w:p>
      <w:pPr>
        <w:spacing w:after="60" w:before="0"/>
        <w:jc w:val="left"/>
      </w:pPr>
      <w:r>
        <w:rPr>
          <w:rFonts w:ascii="Garamond" w:cs="Garamond" w:eastAsia="Garamond" w:hAnsi="Garamond"/>
          <w:b w:val="false"/>
          <w:bCs w:val="false"/>
          <w:i w:val="false"/>
          <w:iCs w:val="false"/>
          <w:color w:val="555555"/>
          <w:sz w:val="20"/>
          <w:szCs w:val="20"/>
        </w:rPr>
        <w:t xml:space="preserve">Information Technology Management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Professor - Information Technology Management (Job No. 496202)</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Adjunct Professor position in Information Technology Management (Job No. 496202). This fall I begin the Ph.D. in Higher Education Leadership, Management and Policy at Seton Hall, so I will already be on campus as a member of the University community; teaching the required introductory IT course would let me contribute to the institution I am joining rather than simply enroll in it.</w:t>
      </w:r>
    </w:p>
    <w:p>
      <w:pPr>
        <w:spacing w:after="200" w:before="0"/>
        <w:jc w:val="left"/>
      </w:pPr>
      <w:r>
        <w:rPr>
          <w:rFonts w:ascii="Garamond" w:cs="Garamond" w:eastAsia="Garamond" w:hAnsi="Garamond"/>
          <w:b w:val="false"/>
          <w:bCs w:val="false"/>
          <w:i w:val="false"/>
          <w:iCs w:val="false"/>
          <w:color w:val="444444"/>
          <w:sz w:val="21"/>
          <w:szCs w:val="21"/>
        </w:rPr>
        <w:t xml:space="preserve">The posting asks for a master's degree in an IT-related field or an MBA with work experience in IT, and the second path describes my career precisely. Over thirteen-plus years I have run enterprise technology programs end to end. At Interpublic Group I coordinated implementations of Salesforce, Microsoft Dynamics 365, Maximo, and Active Directory for 600 users across multiple subsidiary agencies, delivering migration projects 75 percent ahead of schedule. At HCL Americas, supporting Becton Dickinson and Bristol Myers Squibb, I directed three cloud migration projects and a 10,000-user client migration, and designed submission and approval automation across 49 business lines that eliminated manual intake and produced $10 million in documented annual savings. An introductory IT course covers systems, data, infrastructure, security posture, and the business case for technology; I have had to explain each of those to executives who controlled the budget and to end users who had to live with the result.</w:t>
      </w:r>
    </w:p>
    <w:p>
      <w:pPr>
        <w:spacing w:after="200" w:before="0"/>
        <w:jc w:val="left"/>
      </w:pPr>
      <w:r>
        <w:rPr>
          <w:rFonts w:ascii="Garamond" w:cs="Garamond" w:eastAsia="Garamond" w:hAnsi="Garamond"/>
          <w:b w:val="false"/>
          <w:bCs w:val="false"/>
          <w:i w:val="false"/>
          <w:iCs w:val="false"/>
          <w:color w:val="444444"/>
          <w:sz w:val="21"/>
          <w:szCs w:val="21"/>
        </w:rPr>
        <w:t xml:space="preserve">Earlier roles fill in the rest of the syllabus. At Millennium Systems International I served as Scrum Master across three annual releases and raised development productivity 45 percent through workflow optimization, which is where the software development lifecycle stops being a diagram. At Société Générale I scaled a technical team from 6 to 55 while delivering federally mandated regulatory reporting within a $1.5 million budget, the kind of case study that shows students why governance and data quality are IT problems rather than paperwork. My MBA in Organizational Management, completing this fall at a 3.87 GPA, includes concentrations in Artificial Intelligence and Human Resources and coursework in Technology Strategy and Data Analytics for Decision-Making, and I completed General Assembly's software engineering bootcamp in 2025 to keep my hands on the tooling students are now expected to touch.</w:t>
      </w:r>
    </w:p>
    <w:p>
      <w:pPr>
        <w:spacing w:after="200" w:before="0"/>
        <w:jc w:val="left"/>
      </w:pPr>
      <w:r>
        <w:rPr>
          <w:rFonts w:ascii="Garamond" w:cs="Garamond" w:eastAsia="Garamond" w:hAnsi="Garamond"/>
          <w:b w:val="false"/>
          <w:bCs w:val="false"/>
          <w:i w:val="false"/>
          <w:iCs w:val="false"/>
          <w:color w:val="444444"/>
          <w:sz w:val="21"/>
          <w:szCs w:val="21"/>
        </w:rPr>
        <w:t xml:space="preserve">One thing to be straight about: I have not previously been instructor of record for a course in IT, so the preferred qualification of prior teaching experience is one I do not yet meet. The closest I have come is a Graduate Assistantship at Eastern University from May to December 2025, where I managed the full course lifecycle for two sections enrolling more than 200 students a semester — Canvas and Brightspace administration, assessment design, grading workflows, and being the first person students came to with a question. I know what a semester demands operationally, and I would use the first term to work closely with the program on syllabus alignment, assessment calibration, and course evaluations rather than improvising.</w:t>
      </w:r>
    </w:p>
    <w:p>
      <w:pPr>
        <w:spacing w:after="200" w:before="0"/>
        <w:jc w:val="left"/>
      </w:pPr>
      <w:r>
        <w:rPr>
          <w:rFonts w:ascii="Garamond" w:cs="Garamond" w:eastAsia="Garamond" w:hAnsi="Garamond"/>
          <w:b w:val="false"/>
          <w:bCs w:val="false"/>
          <w:i w:val="false"/>
          <w:iCs w:val="false"/>
          <w:color w:val="444444"/>
          <w:sz w:val="21"/>
          <w:szCs w:val="21"/>
        </w:rPr>
        <w:t xml:space="preserve">Either meeting pattern in the posting works for my schedule, and doctoral study on this campus means I can hold office hours students can actually reach. What I would bring is a course anchored in what technology work looks like when it leaves the classroom, taught by someone with a long-term stake in Seton Hall's students. Thank you for your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