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Enterprise IT Program Management &amp; Technology Strategy  ·  MBA, Incoming Seton Hall Doctoral Student</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Technology practitioner with 13+ years managing enterprise IT programs — CRM and ERP implementations across Salesforce, Microsoft Dynamics 365, Maximo, SAP and Active Directory, cloud migrations, workflow automation, data and KPI reporting, and vendor and budget oversight for user populations reaching 10,000 — completing an MBA in Organizational Management at a 3.87 GPA with concentrations in Human Resources, Artificial Intelligence, and Sustainable Development and coursework in Technology Strategy and Data Analytics for Decision-Making.</w:t>
      </w:r>
    </w:p>
    <w:p>
      <w:pPr>
        <w:spacing w:after="60" w:before="100"/>
      </w:pPr>
      <w:r>
        <w:rPr>
          <w:rFonts w:ascii="Garamond" w:cs="Garamond" w:eastAsia="Garamond" w:hAnsi="Garamond"/>
          <w:b w:val="false"/>
          <w:bCs w:val="false"/>
          <w:i w:val="false"/>
          <w:iCs w:val="false"/>
          <w:color w:val="555555"/>
          <w:sz w:val="20"/>
          <w:szCs w:val="20"/>
        </w:rPr>
        <w:t xml:space="preserve">That practitioner background is paired with recent university course work: full lifecycle support for two high-enrollment courses serving 200+ students per semester, including LMS administration in Canvas and Brightspace, assessment design, grading workflows, and student inquiry triage. Incoming doctoral student in Higher Education Leadership, Management and Policy at Seton Hall.</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platform migration projects 75% ahead of schedule; facilitated monthly executive briefings and maintained status trackers for senior leadership.</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Directed three cloud migration projects and a 10,000-user client migration; established centralized KPI reporting dashboards for executive decision-making.</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full course lifecycle across two high-enrollment courses (200+ students per semester) — LMS administration (Canvas / Brightspace), section setup, enrollment monitoring, textbook procurement, and academic records maintenance.</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institutional effectiveness and platform optimization.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policy recommendations integrating quantitative usage data with qualitative stakeholder analysis to improve support delivery for non-traditional students.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student success frameworks in postsecondary education.</w:t>
      </w:r>
    </w:p>
    <w:p>
      <w:pPr>
        <w:spacing w:after="20" w:before="120"/>
      </w:pPr>
      <w:r>
        <w:rPr>
          <w:rFonts w:ascii="Garamond" w:cs="Garamond" w:eastAsia="Garamond" w:hAnsi="Garamond"/>
          <w:b w:val="false"/>
          <w:bCs w:val="false"/>
          <w:i w:val="false"/>
          <w:iCs w:val="false"/>
          <w:color w:val="888888"/>
          <w:sz w:val="19"/>
          <w:szCs w:val="19"/>
        </w:rPr>
        <w:t xml:space="preserve">Research interests: Digital transformation in postsecondary institutions  ·  Technology adoption among adult learners  ·  Data-informed decision-making and continuous improvement  ·  Academic operations and institutional effectiveness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Enterprise IT Systems (Salesforce, MS Dynamics 365, SAP, Maximo, Active Directory)</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Cloud Migration &amp; Enterprise Platform Implementation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Information Systems in Business Operations &amp; Workflow Automation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KPI Dashboards &amp; Reporting (Power BI, Tableau)</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Development Lifecycle &amp; Technical Team Leadership</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IT Procurement, Budget Tracking &amp; Vendor Coordination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LMS &amp; Student Platforms (Canvas, Brightspace, Moodle)</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Course Lifecycle Support, Assessment Design &amp; Grading Workflows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Technical Documentation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Institutional Analytics &amp; Research Design</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