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Dr. Thomas Massarelli</w:t>
      </w:r>
    </w:p>
    <w:p>
      <w:pPr>
        <w:spacing w:after="60" w:before="0"/>
        <w:jc w:val="left"/>
      </w:pPr>
      <w:r>
        <w:rPr>
          <w:rFonts w:ascii="Garamond" w:cs="Garamond" w:eastAsia="Garamond" w:hAnsi="Garamond"/>
          <w:b w:val="false"/>
          <w:bCs w:val="false"/>
          <w:i w:val="false"/>
          <w:iCs w:val="false"/>
          <w:color w:val="555555"/>
          <w:sz w:val="20"/>
          <w:szCs w:val="20"/>
        </w:rPr>
        <w:t xml:space="preserve">Adjunct Instructor - Professional Psychology &amp; Family Therapy Search</w:t>
      </w:r>
    </w:p>
    <w:p>
      <w:pPr>
        <w:spacing w:after="60" w:before="0"/>
        <w:jc w:val="left"/>
      </w:pPr>
      <w:r>
        <w:rPr>
          <w:rFonts w:ascii="Garamond" w:cs="Garamond" w:eastAsia="Garamond" w:hAnsi="Garamond"/>
          <w:b w:val="false"/>
          <w:bCs w:val="false"/>
          <w:i w:val="false"/>
          <w:iCs w:val="false"/>
          <w:color w:val="555555"/>
          <w:sz w:val="20"/>
          <w:szCs w:val="20"/>
        </w:rPr>
        <w:t xml:space="preserve">Professional Psychology and Family Therapy Department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Instructor - Professional Psychology &amp; Family Therapy (Job No. 495919)</w:t>
      </w:r>
    </w:p>
    <w:p>
      <w:pPr>
        <w:spacing w:after="200" w:before="0"/>
        <w:jc w:val="left"/>
      </w:pPr>
      <w:r>
        <w:rPr>
          <w:rFonts w:ascii="Garamond" w:cs="Garamond" w:eastAsia="Garamond" w:hAnsi="Garamond"/>
          <w:b w:val="false"/>
          <w:bCs w:val="false"/>
          <w:i w:val="false"/>
          <w:iCs w:val="false"/>
          <w:color w:val="2C2C2C"/>
          <w:sz w:val="21"/>
          <w:szCs w:val="21"/>
        </w:rPr>
        <w:t xml:space="preserve">Dear Dr. Massarelli,</w:t>
      </w:r>
    </w:p>
    <w:p>
      <w:pPr>
        <w:spacing w:after="200" w:before="0"/>
        <w:jc w:val="left"/>
      </w:pPr>
      <w:r>
        <w:rPr>
          <w:rFonts w:ascii="Garamond" w:cs="Garamond" w:eastAsia="Garamond" w:hAnsi="Garamond"/>
          <w:b w:val="false"/>
          <w:bCs w:val="false"/>
          <w:i w:val="false"/>
          <w:iCs w:val="false"/>
          <w:color w:val="444444"/>
          <w:sz w:val="21"/>
          <w:szCs w:val="21"/>
        </w:rPr>
        <w:t xml:space="preserve">I am writing regarding the adjunct instructor pool in the Professional Psychology and Family Therapy Department. This fall I begin the Ph.D. in Higher Education Leadership, Management and Policy at Seton Hall, so I write as someone about to be part of the university community rather than as an outside applicant hoping to get in. That also means I will be reading your department's work from the inside for the next several years, and I would rather approach it honestly than oversell.</w:t>
      </w:r>
    </w:p>
    <w:p>
      <w:pPr>
        <w:spacing w:after="200" w:before="0"/>
        <w:jc w:val="left"/>
      </w:pPr>
      <w:r>
        <w:rPr>
          <w:rFonts w:ascii="Garamond" w:cs="Garamond" w:eastAsia="Garamond" w:hAnsi="Garamond"/>
          <w:b w:val="false"/>
          <w:bCs w:val="false"/>
          <w:i w:val="false"/>
          <w:iCs w:val="false"/>
          <w:color w:val="444444"/>
          <w:sz w:val="21"/>
          <w:szCs w:val="21"/>
        </w:rPr>
        <w:t xml:space="preserve">So let me start where your posting starts. The required credential is a master's degree in the mental health field. Mine is a Master of Business Administration in Organizational Management, and I hold no clinical license, counseling training, or supervised clinical hours. If your need this term is for clinical or family systems coursework, I am not the right person, and I would not want the committee to spend an interview slot discovering that.</w:t>
      </w:r>
    </w:p>
    <w:p>
      <w:pPr>
        <w:spacing w:after="200" w:before="0"/>
        <w:jc w:val="left"/>
      </w:pPr>
      <w:r>
        <w:rPr>
          <w:rFonts w:ascii="Garamond" w:cs="Garamond" w:eastAsia="Garamond" w:hAnsi="Garamond"/>
          <w:b w:val="false"/>
          <w:bCs w:val="false"/>
          <w:i w:val="false"/>
          <w:iCs w:val="false"/>
          <w:color w:val="444444"/>
          <w:sz w:val="21"/>
          <w:szCs w:val="21"/>
        </w:rPr>
        <w:t xml:space="preserve">Where I could contribute is on the applied, non-clinical side of a professional program — the organizational, ethical-documentation, and practice-management content that counseling and family therapy students eventually need but rarely get taught directly. As a Graduate Assistant at Eastern University I supported assessment design, grading workflows, and academic progress monitoring for two high-enrollment courses serving more than 200 students per semester, and I served as the first point of contact for student inquiries, escalating complex cases to faculty and coordinating referrals to advising offices while tracking each item through resolution. Handling student records and performance data under strict confidentiality was a daily condition of that work, not an afterthought.</w:t>
      </w:r>
    </w:p>
    <w:p>
      <w:pPr>
        <w:spacing w:after="200" w:before="0"/>
        <w:jc w:val="left"/>
      </w:pPr>
      <w:r>
        <w:rPr>
          <w:rFonts w:ascii="Garamond" w:cs="Garamond" w:eastAsia="Garamond" w:hAnsi="Garamond"/>
          <w:b w:val="false"/>
          <w:bCs w:val="false"/>
          <w:i w:val="false"/>
          <w:iCs w:val="false"/>
          <w:color w:val="444444"/>
          <w:sz w:val="21"/>
          <w:szCs w:val="21"/>
        </w:rPr>
        <w:t xml:space="preserve">The professional background behind it is thirteen years in operations and program management, much of it in settings where confidentiality and documentation are regulated rather than optional. At HCL Americas I managed programs for Becton Dickinson and Bristol Myers Squibb, redesigning submission and approval processes across 49 business lines. At Société Générale I scaled a team from six to fifty-five people, which meant owning hiring documentation, onboarding, coverage planning, and timekeeping for a group under continuous audit. Those are the habits of mind — records discipline, intake and escalation design, knowing what must be written down — that translate into a classroom for practitioners preparing to run a caseload or a practice.</w:t>
      </w:r>
    </w:p>
    <w:p>
      <w:pPr>
        <w:spacing w:after="200" w:before="0"/>
        <w:jc w:val="left"/>
      </w:pPr>
      <w:r>
        <w:rPr>
          <w:rFonts w:ascii="Garamond" w:cs="Garamond" w:eastAsia="Garamond" w:hAnsi="Garamond"/>
          <w:b w:val="false"/>
          <w:bCs w:val="false"/>
          <w:i w:val="false"/>
          <w:iCs w:val="false"/>
          <w:color w:val="444444"/>
          <w:sz w:val="21"/>
          <w:szCs w:val="21"/>
        </w:rPr>
        <w:t xml:space="preserve">If the department ever has a need on that side of the curriculum, I would welcome the conversation; if not, I understand completely. Thank you for reading, and I look forward to being a colleague in the wider Seton Hall community this fall.</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