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Faculty, Adjunct Search</w:t>
      </w:r>
    </w:p>
    <w:p>
      <w:pPr>
        <w:spacing w:after="60" w:before="0"/>
        <w:jc w:val="left"/>
      </w:pPr>
      <w:r>
        <w:rPr>
          <w:rFonts w:ascii="Garamond" w:cs="Garamond" w:eastAsia="Garamond" w:hAnsi="Garamond"/>
          <w:b w:val="false"/>
          <w:bCs w:val="false"/>
          <w:i w:val="false"/>
          <w:iCs w:val="false"/>
          <w:color w:val="555555"/>
          <w:sz w:val="20"/>
          <w:szCs w:val="20"/>
        </w:rPr>
        <w:t xml:space="preserve">University CORE Curriculum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Faculty, Adjunct (Job No. 495886)</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about the adjunct faculty opening in the University CORE Curriculum. In September I start the Ph.D. in Higher Education Leadership, Management and Policy here, and part of what drew me to Seton Hall is precisely the shape of the Core: an institution that requires every first- and second-year student to sit in a room and argue carefully about what a good life is has made a real commitment about what education is for. I would like to help teach that, and I want to be straightforward about the terms on which I could.</w:t>
      </w:r>
    </w:p>
    <w:p>
      <w:pPr>
        <w:spacing w:after="200" w:before="0"/>
        <w:jc w:val="left"/>
      </w:pPr>
      <w:r>
        <w:rPr>
          <w:rFonts w:ascii="Garamond" w:cs="Garamond" w:eastAsia="Garamond" w:hAnsi="Garamond"/>
          <w:b w:val="false"/>
          <w:bCs w:val="false"/>
          <w:i w:val="false"/>
          <w:iCs w:val="false"/>
          <w:color w:val="444444"/>
          <w:sz w:val="21"/>
          <w:szCs w:val="21"/>
        </w:rPr>
        <w:t xml:space="preserve">The posting asks for a Master of Arts in Theology or a Master of Divinity. I hold neither. My master's is in Organizational Management, and I have no formal theological training, so a section of Christianity and Culture in Dialogue taught by me would be led by someone learning the tradition alongside the students rather than from within it. If the committee needs a theologian in the room, that settles it, and I would rather write it in the second paragraph than bury it.</w:t>
      </w:r>
    </w:p>
    <w:p>
      <w:pPr>
        <w:spacing w:after="200" w:before="0"/>
        <w:jc w:val="left"/>
      </w:pPr>
      <w:r>
        <w:rPr>
          <w:rFonts w:ascii="Garamond" w:cs="Garamond" w:eastAsia="Garamond" w:hAnsi="Garamond"/>
          <w:b w:val="false"/>
          <w:bCs w:val="false"/>
          <w:i w:val="false"/>
          <w:iCs w:val="false"/>
          <w:color w:val="444444"/>
          <w:sz w:val="21"/>
          <w:szCs w:val="21"/>
        </w:rPr>
        <w:t xml:space="preserve">What I can do is run the kind of classroom the posting describes. Journey of Transformation is built on dialogue, on a sense of community in the section, and on students writing their way toward clarity in both formal and informal registers. My working life has been spent getting people who disagree to talk usefully: at Mangu Publishers I ran intake sessions with more than fifty stakeholders and turned what they said into twelve concrete enhancements across six delivery cycles, and at Interpublic Group I facilitated monthly briefings for executives across several subsidiary agencies who did not begin those meetings with a common view. Facilitating disagreement toward something shared is a teachable skill, and it is most of what a dialogue-based seminar asks of an instructor.</w:t>
      </w:r>
    </w:p>
    <w:p>
      <w:pPr>
        <w:spacing w:after="200" w:before="0"/>
        <w:jc w:val="left"/>
      </w:pPr>
      <w:r>
        <w:rPr>
          <w:rFonts w:ascii="Garamond" w:cs="Garamond" w:eastAsia="Garamond" w:hAnsi="Garamond"/>
          <w:b w:val="false"/>
          <w:bCs w:val="false"/>
          <w:i w:val="false"/>
          <w:iCs w:val="false"/>
          <w:color w:val="444444"/>
          <w:sz w:val="21"/>
          <w:szCs w:val="21"/>
        </w:rPr>
        <w:t xml:space="preserve">The student-facing side is not theoretical either. As a Graduate Assistant at Eastern University I was the first point of contact for students in two high-enrollment courses serving over 200 students per semester — triaging questions, escalating what needed faculty judgment, and coordinating referrals to advising — and I worked with faculty on assessment design and grading workflows. First- and second-year students are the ones who need that attention most, and I noticed early which of them stopped asking questions before they stopped attending. My MBA research has been literature-review-heavy, which is to say I spend a great deal of time reading arguments I did not write and putting them fairly into prose.</w:t>
      </w:r>
    </w:p>
    <w:p>
      <w:pPr>
        <w:spacing w:after="200" w:before="0"/>
        <w:jc w:val="left"/>
      </w:pPr>
      <w:r>
        <w:rPr>
          <w:rFonts w:ascii="Garamond" w:cs="Garamond" w:eastAsia="Garamond" w:hAnsi="Garamond"/>
          <w:b w:val="false"/>
          <w:bCs w:val="false"/>
          <w:i w:val="false"/>
          <w:iCs w:val="false"/>
          <w:color w:val="444444"/>
          <w:sz w:val="21"/>
          <w:szCs w:val="21"/>
        </w:rPr>
        <w:t xml:space="preserve">If the Core has room for an instructor who brings facilitation and writing instruction rather than a theology degree, I would be glad to be considered — and glad to observe sections and take part in Core faculty development before ever leading one. Thank you for your time, and for the work the Core does.</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