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Dialogue-Based Facilitation &amp; First-Year Student Support  ·  Scholar-Practitioner in Organizational Management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whose graduate course support work has been built around small-group discussion, written feedback, and sustained contact with students. Served as first point of contact for student inquiries across two high-enrollment courses (200+ students per semester), supported assessment design and grading workflows alongside course faculty, and administered Canvas and Brightspace course sites. Completing an MBA in Organizational Management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 practiced facilitator of conversation across difference: thirteen-plus years leading intake sessions, stakeholder workshops, and cross-functional groups in which the work was to get people with genuinely different premises talking productively toward a shared outcome. Systematic literature reviews and applied research through the MBA program have sharpened the reading, writing, and argument-building skills that a writing-intensive seminar demands.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 across two high-enrollment courses (200+ students per semester);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— LMS administration (Canvas / Brightspace), section setup, enrollment monitoring, textbook procurement, and academic records maintenance.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intake sessions with 50+ stakeholders and led full lifecycle implementation of a resource-matching platform, delivering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education, synthesizing competing scholarly positions into written argument.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Student transition, belonging and persistence  ·  Dialogue and deliberation across difference in organizational settings  ·  Data-informed decision-making and continuous improvement  ·  Academic operations and institutional effectiveness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Small-Group Facilitation &amp; Stakeholder Dialogue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Inquiry Triage, Referral &amp; Advising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Written Communication, Documentation &amp; Editing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Literature Review &amp; Applied Research Design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Faculty, Stakeholder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Assessment Support, Grading Workflows &amp; Progress Monitoring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