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Education Leadership: Finance, Technology &amp; Organizational Theory  ·  Operations Scholar-Practitioner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the practitioner depth that education leadership coursework in finance, technology, organizational theory, and policy draws on: chaired a $50M annual budget committee, directed enterprise technology implementations for 600-user and 10,000-user populations, and built KPI reporting used for executive decision-making. Completing an MBA in Organizational Management with a 3.87 GPA, including Organizational Change &amp; Development, Technology Strategy, Data Analytics for Decision-Making, and Research Methods.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Graduate course support experience covers the full lifecycle for two high-enrollment courses (200+ students per semester) — Canvas and Brightspace administration, assessment design, grading workflows, and academic progress monitoring — alongside applied research using both quantitative usage data and qualitative stakeholder analysis to improve support delivery for non-traditional students. Committed to equity of access as a working practice: identifying who is being underserved by a system, documenting it, and changing the process rather than the rhetoric.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 — mixed-methods work of the kind education leadership students are asked to produce.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education settings.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Organizational change and leadership in education systems  ·  Technology adoption and digital transformation  ·  Data-informed decision-making and continuous improvement  ·  Service delivery equity for underserved learners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Education Finance, Budget Oversight &amp; Procurement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Organizational Theory, Change &amp; Development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Technology Strategy &amp; Enterprise Systems Implementation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Quantitative, Qualitative &amp; Mixed-Methods Research Design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Policy Analysis &amp; Data-Informed Recommendations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Leadership, Hiring &amp; Team Development (Onboarding, Coverage, Timekeeping)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Faculty, Stakeholder &amp; Executive Communication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CRM / ERP Systems (Salesforce, MS Dynamics 365, SAP)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