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Adjunct Instructor – Higher Education Leadership Programs Search</w:t>
      </w:r>
    </w:p>
    <w:p>
      <w:pPr>
        <w:spacing w:after="60" w:before="0"/>
        <w:jc w:val="left"/>
      </w:pPr>
      <w:r>
        <w:rPr>
          <w:rFonts w:ascii="Garamond" w:cs="Garamond" w:eastAsia="Garamond" w:hAnsi="Garamond"/>
          <w:b w:val="false"/>
          <w:bCs w:val="false"/>
          <w:i w:val="false"/>
          <w:iCs w:val="false"/>
          <w:color w:val="555555"/>
          <w:sz w:val="20"/>
          <w:szCs w:val="20"/>
        </w:rPr>
        <w:t xml:space="preserve">Department of Education Leadership, Management and Policy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Instructor – Higher Education Leadership Programs (Job No. 495867)</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about the adjunct instructor pool for the Higher Education Leadership programs, and I should say at the outset that this fall I enroll as a doctoral student in the Ph.D. in Higher Education Leadership, Management and Policy — in this department. That connection is the reason I am writing and also the reason to raise two things plainly before anything else.</w:t>
      </w:r>
    </w:p>
    <w:p>
      <w:pPr>
        <w:spacing w:after="200" w:before="0"/>
        <w:jc w:val="left"/>
      </w:pPr>
      <w:r>
        <w:rPr>
          <w:rFonts w:ascii="Garamond" w:cs="Garamond" w:eastAsia="Garamond" w:hAnsi="Garamond"/>
          <w:b w:val="false"/>
          <w:bCs w:val="false"/>
          <w:i w:val="false"/>
          <w:iCs w:val="false"/>
          <w:color w:val="444444"/>
          <w:sz w:val="21"/>
          <w:szCs w:val="21"/>
        </w:rPr>
        <w:t xml:space="preserve">The first is the credential. The posting requires an earned doctorate in higher education or a related field. I am beginning that doctorate, not completing it, and I will not have it for several years. The second is the enrollment itself: teaching in a program in which I am also a student raises questions about role separation that the department may well answer with a simple no. If that is the policy, I would like to know it rather than have the application sit unresolved, and I would ask to be kept in mind for a future term instead.</w:t>
      </w:r>
    </w:p>
    <w:p>
      <w:pPr>
        <w:spacing w:after="200" w:before="0"/>
        <w:jc w:val="left"/>
      </w:pPr>
      <w:r>
        <w:rPr>
          <w:rFonts w:ascii="Garamond" w:cs="Garamond" w:eastAsia="Garamond" w:hAnsi="Garamond"/>
          <w:b w:val="false"/>
          <w:bCs w:val="false"/>
          <w:i w:val="false"/>
          <w:iCs w:val="false"/>
          <w:color w:val="444444"/>
          <w:sz w:val="21"/>
          <w:szCs w:val="21"/>
        </w:rPr>
        <w:t xml:space="preserve">If the committee is open to the conversation, the areas your posting names map closely onto what I have actually done. Higher education finance: I chaired a $50M annual budget committee, reviewing spend, vendor commitments, and funding priorities, and delivered federally mandated regulatory reports at Société Générale six weeks ahead of schedule within a $1.5M budget — the practical grammar of budget cycles, compliance calendars, and defending a line item to people who want it cut. Leadership and governance: I scaled a team from six to fifty-five at Société Générale, owning hiring documentation, onboarding, coverage planning, and timekeeping, and at Interpublic Group I ran monthly executive briefings across multiple subsidiary agencies whose interests did not align — a fair rehearsal for shared governance. Research methodology: my MBA work has been mixed-methods and literature-review-intensive, examining adult learner engagement in LMS environments and producing data-informed policy recommendations.</w:t>
      </w:r>
    </w:p>
    <w:p>
      <w:pPr>
        <w:spacing w:after="200" w:before="0"/>
        <w:jc w:val="left"/>
      </w:pPr>
      <w:r>
        <w:rPr>
          <w:rFonts w:ascii="Garamond" w:cs="Garamond" w:eastAsia="Garamond" w:hAnsi="Garamond"/>
          <w:b w:val="false"/>
          <w:bCs w:val="false"/>
          <w:i w:val="false"/>
          <w:iCs w:val="false"/>
          <w:color w:val="444444"/>
          <w:sz w:val="21"/>
          <w:szCs w:val="21"/>
        </w:rPr>
        <w:t xml:space="preserve">The student-facing side comes from Eastern University, where as a Graduate Assistant I managed the full course lifecycle for two high-enrollment courses serving over 200 students per semester, administered Canvas and Brightspace, supported assessment design and grading workflows with faculty, and used trend analysis on performance data to surface students at risk before their grades made it obvious. That is roughly one year of direct higher education work; the thirteen years behind it are in operations and program management, and I would describe myself to your students as a practitioner who is learning to be a scholar rather than the reverse. The evening and weekend-intensive schedule this position uses fits a working doctoral student well.</w:t>
      </w:r>
    </w:p>
    <w:p>
      <w:pPr>
        <w:spacing w:after="200" w:before="0"/>
        <w:jc w:val="left"/>
      </w:pPr>
      <w:r>
        <w:rPr>
          <w:rFonts w:ascii="Garamond" w:cs="Garamond" w:eastAsia="Garamond" w:hAnsi="Garamond"/>
          <w:b w:val="false"/>
          <w:bCs w:val="false"/>
          <w:i w:val="false"/>
          <w:iCs w:val="false"/>
          <w:color w:val="444444"/>
          <w:sz w:val="21"/>
          <w:szCs w:val="21"/>
        </w:rPr>
        <w:t xml:space="preserve">What I would bring to a section is concrete institutional detail — real budgets, real reporting deadlines, real change efforts that failed for reasons worth naming — held to the methodological standards this department teaches. Thank you for your time and consideration, and I look forward to joining the department as a student this fall regardless of the outcome.</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