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Higher Education Finance, Leadership &amp; Organizational Strategy  ·  Incoming Seton Hall Doctoral Scholar</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Incoming Seton Hall doctoral student in Higher Education Leadership, Management and Policy with direct higher education service experience and thirteen-plus years of leadership in budget oversight, governance, and organizational strategy — the applied content that higher education leadership coursework in finance, law and compliance, governance, and research methods is built to teach. Chaired a $50M annual budget committee, delivered federally mandated regulatory reporting six weeks early within a $1.5M budget, and scaled a team from 6 to 55 people. Completing an MBA in Organizational Management with a 3.87 GPA.</w:t>
      </w:r>
    </w:p>
    <w:p>
      <w:pPr>
        <w:spacing w:after="60" w:before="100"/>
      </w:pPr>
      <w:r>
        <w:rPr>
          <w:rFonts w:ascii="Garamond" w:cs="Garamond" w:eastAsia="Garamond" w:hAnsi="Garamond"/>
          <w:b w:val="false"/>
          <w:bCs w:val="false"/>
          <w:i w:val="false"/>
          <w:iCs w:val="false"/>
          <w:color w:val="555555"/>
          <w:sz w:val="20"/>
          <w:szCs w:val="20"/>
        </w:rPr>
        <w:t xml:space="preserve">Graduate course support work at Eastern University covered the full lifecycle for two high-enrollment courses (200+ students per semester): Canvas and Brightspace administration, assessment design, grading workflows, and student inquiry triage with referrals to advising. Applied MBA research on adult learner engagement, institutional effectiveness, and student success frameworks pairs quantitative usage data with qualitative stakeholder analysis — bringing the practitioner's numbers and the researcher's method into the same classroom.</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findings informed recommendations on institutional effectiveness and platform optimization.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organizational change, digital transformation, and student success frameworks in postsecondary education.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policy recommendations integrating quantitative usage data with qualitative stakeholder analysis to improve support delivery for non-traditional students.</w:t>
      </w:r>
    </w:p>
    <w:p>
      <w:pPr>
        <w:spacing w:after="20" w:before="120"/>
      </w:pPr>
      <w:r>
        <w:rPr>
          <w:rFonts w:ascii="Garamond" w:cs="Garamond" w:eastAsia="Garamond" w:hAnsi="Garamond"/>
          <w:b w:val="false"/>
          <w:bCs w:val="false"/>
          <w:i w:val="false"/>
          <w:iCs w:val="false"/>
          <w:color w:val="888888"/>
          <w:sz w:val="19"/>
          <w:szCs w:val="19"/>
        </w:rPr>
        <w:t xml:space="preserve">Research interests: Higher education finance, governance and institutional effectiveness  ·  Non-traditional student persistence and service delivery equity  ·  Data-informed decision-making and continuous improvement  ·  Digital transformation in postsecondary institutions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Higher Education Finance, Budget Oversight &amp; Procurement</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Governance, Committee Leadership &amp; Executive Reporting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Organizational Theory, Change &amp; Development</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Research Methods: Quantitative, Qualitative &amp; Mixed Design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Regulatory Compliance &amp; Mandated Reporting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Academic Operations &amp; Course Lifecycle Support</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Inquiry Triage, Referral &amp; Advising Coordination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Institutional Reporting (Power BI, Tableau)</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HR &amp; Staffing Workflows (Hiring, Onboarding, Timekeeping)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Faculty, Stakeholder &amp; Executive Communication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