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Instructor, Master of Arts in Museum Professions Search</w:t>
      </w:r>
    </w:p>
    <w:p>
      <w:pPr>
        <w:spacing w:after="60" w:before="0"/>
        <w:jc w:val="left"/>
      </w:pPr>
      <w:r>
        <w:rPr>
          <w:rFonts w:ascii="Garamond" w:cs="Garamond" w:eastAsia="Garamond" w:hAnsi="Garamond"/>
          <w:b w:val="false"/>
          <w:bCs w:val="false"/>
          <w:i w:val="false"/>
          <w:iCs w:val="false"/>
          <w:color w:val="555555"/>
          <w:sz w:val="20"/>
          <w:szCs w:val="20"/>
        </w:rPr>
        <w:t xml:space="preserve">College of Human Development, Culture, and Media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Master of Arts in Museum Professions (Job No. 495497)</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be considered for the adjunct instructor opening in the Master of Arts in Museum Professions program. This fall I begin the Ph.D. in Higher Education Leadership, Management and Policy at Seton Hall, so I come to the College of Human Development, Culture, and Media as someone already entering the institution rather than as an outside applicant, and I would value the chance to contribute to its graduate teaching while I study here.</w:t>
      </w:r>
    </w:p>
    <w:p>
      <w:pPr>
        <w:spacing w:after="200" w:before="0"/>
        <w:jc w:val="left"/>
      </w:pPr>
      <w:r>
        <w:rPr>
          <w:rFonts w:ascii="Garamond" w:cs="Garamond" w:eastAsia="Garamond" w:hAnsi="Garamond"/>
          <w:b w:val="false"/>
          <w:bCs w:val="false"/>
          <w:i w:val="false"/>
          <w:iCs w:val="false"/>
          <w:color w:val="444444"/>
          <w:sz w:val="21"/>
          <w:szCs w:val="21"/>
        </w:rPr>
        <w:t xml:space="preserve">Of the specialties the posting names, two describe work I have actually done. The first is archives and records management. At Mangu Publishers I built the standardized knowledge management and records infrastructure for the organization — setting retention and retrieval standards, retiring more than thirty outdated materials, and raising information retrieval efficiency by fifty percent. The second is audience research. My MBA research at Eastern University examined technology adoption and engagement patterns among adult learners, pairing quantitative usage data against qualitative stakeholder analysis to explain not just how many people engaged but which groups did not and why the design of the experience was part of the answer. Both are methods questions a museum professions cohort has to be able to ask.</w:t>
      </w:r>
    </w:p>
    <w:p>
      <w:pPr>
        <w:spacing w:after="200" w:before="0"/>
        <w:jc w:val="left"/>
      </w:pPr>
      <w:r>
        <w:rPr>
          <w:rFonts w:ascii="Garamond" w:cs="Garamond" w:eastAsia="Garamond" w:hAnsi="Garamond"/>
          <w:b w:val="false"/>
          <w:bCs w:val="false"/>
          <w:i w:val="false"/>
          <w:iCs w:val="false"/>
          <w:color w:val="444444"/>
          <w:sz w:val="21"/>
          <w:szCs w:val="21"/>
        </w:rPr>
        <w:t xml:space="preserve">I also have teaching-adjacent experience at the graduate level. As a Graduate Assistant at Eastern University I ran the full course lifecycle for two high-enrollment courses serving more than two hundred students a semester, working with faculty on assessment design, grading workflows, grade-change documentation, and academic progress monitoring, and fielding student questions as first point of contact. Earlier, at Société Générale, I delivered federally mandated regulatory reports six weeks ahead of schedule on a $1.5M budget, which is where the legal and ethical treatment of institutional records stopped being an abstraction for me and became a daily standard of care.</w:t>
      </w:r>
    </w:p>
    <w:p>
      <w:pPr>
        <w:spacing w:after="200" w:before="0"/>
        <w:jc w:val="left"/>
      </w:pPr>
      <w:r>
        <w:rPr>
          <w:rFonts w:ascii="Garamond" w:cs="Garamond" w:eastAsia="Garamond" w:hAnsi="Garamond"/>
          <w:b w:val="false"/>
          <w:bCs w:val="false"/>
          <w:i w:val="false"/>
          <w:iCs w:val="false"/>
          <w:color w:val="444444"/>
          <w:sz w:val="21"/>
          <w:szCs w:val="21"/>
        </w:rPr>
        <w:t xml:space="preserve">I should be plain about the gaps. I do not hold a graduate degree in museum studies or museum education, and I have not spent five years working in, with, or for museums, both of which the posting states as requirements. I would not ask the committee to set those aside. If the program's need this cycle is for a curator or a museum educator, I am not that candidate. If instead there is a seat where the subject is professional practice — records and information management, program administration, or research methods for audience study — thirteen years of doing that work in organizations where it had to survive audit and staff turnover is what I would bring to it.</w:t>
      </w:r>
    </w:p>
    <w:p>
      <w:pPr>
        <w:spacing w:after="200" w:before="0"/>
        <w:jc w:val="left"/>
      </w:pPr>
      <w:r>
        <w:rPr>
          <w:rFonts w:ascii="Garamond" w:cs="Garamond" w:eastAsia="Garamond" w:hAnsi="Garamond"/>
          <w:b w:val="false"/>
          <w:bCs w:val="false"/>
          <w:i w:val="false"/>
          <w:iCs w:val="false"/>
          <w:color w:val="444444"/>
          <w:sz w:val="21"/>
          <w:szCs w:val="21"/>
        </w:rPr>
        <w:t xml:space="preserve">Either way, I expect to be on campus for the next several years and would be glad to be useful to the program in whatever form fits, including as a guest session rather than a full course. Thank you for your time and for considering the application.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