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Instructor, Art History Search</w:t>
      </w:r>
    </w:p>
    <w:p>
      <w:pPr>
        <w:spacing w:after="60" w:before="0"/>
        <w:jc w:val="left"/>
      </w:pPr>
      <w:r>
        <w:rPr>
          <w:rFonts w:ascii="Garamond" w:cs="Garamond" w:eastAsia="Garamond" w:hAnsi="Garamond"/>
          <w:b w:val="false"/>
          <w:bCs w:val="false"/>
          <w:i w:val="false"/>
          <w:iCs w:val="false"/>
          <w:color w:val="555555"/>
          <w:sz w:val="20"/>
          <w:szCs w:val="20"/>
        </w:rPr>
        <w:t xml:space="preserve">College of Human Development, Culture, and Media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Art History (Job No. 495480)</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This letter concerns the adjunct instructor opening in Art History. I begin the Ph.D. in Higher Education Leadership, Management and Policy at Seton Hall this fall, and part of my reason for writing is simply that I will be here — a doctoral student in the university's own program who would like to teach or otherwise support instruction in the College of Human Development, Culture, and Media while completing that degree.</w:t>
      </w:r>
    </w:p>
    <w:p>
      <w:pPr>
        <w:spacing w:after="200" w:before="0"/>
        <w:jc w:val="left"/>
      </w:pPr>
      <w:r>
        <w:rPr>
          <w:rFonts w:ascii="Garamond" w:cs="Garamond" w:eastAsia="Garamond" w:hAnsi="Garamond"/>
          <w:b w:val="false"/>
          <w:bCs w:val="false"/>
          <w:i w:val="false"/>
          <w:iCs w:val="false"/>
          <w:color w:val="444444"/>
          <w:sz w:val="21"/>
          <w:szCs w:val="21"/>
        </w:rPr>
        <w:t xml:space="preserve">Let me start with the disqualifying fact rather than bury it. The posting requires an earned Ph.D. in art history and expertise teaching Art of the Western World from prehistory to the present. I hold neither the degree nor that subject expertise, and I am not going to argue around it; art history is a discipline, and a survey that spans five millennia demands someone trained in it. If the committee reads no further, that is a reasonable place to stop.</w:t>
      </w:r>
    </w:p>
    <w:p>
      <w:pPr>
        <w:spacing w:after="200" w:before="0"/>
        <w:jc w:val="left"/>
      </w:pPr>
      <w:r>
        <w:rPr>
          <w:rFonts w:ascii="Garamond" w:cs="Garamond" w:eastAsia="Garamond" w:hAnsi="Garamond"/>
          <w:b w:val="false"/>
          <w:bCs w:val="false"/>
          <w:i w:val="false"/>
          <w:iCs w:val="false"/>
          <w:color w:val="444444"/>
          <w:sz w:val="21"/>
          <w:szCs w:val="21"/>
        </w:rPr>
        <w:t xml:space="preserve">What I do have is the working experience of keeping a large survey course intact. At Eastern University I served as Graduate Assistant across two high-enrollment courses, more than two hundred students each semester, handling section setup, Canvas and Brightspace administration, enrollment monitoring, textbook procurement, and records maintenance, and working directly with faculty on assessment design, grading workflows, and grade-change documentation. I was also the first person students wrote to, which meant triaging several hundred questions a term and tracking each one to resolution rather than letting it fall between the instructor and the advising office.</w:t>
      </w:r>
    </w:p>
    <w:p>
      <w:pPr>
        <w:spacing w:after="200" w:before="0"/>
        <w:jc w:val="left"/>
      </w:pPr>
      <w:r>
        <w:rPr>
          <w:rFonts w:ascii="Garamond" w:cs="Garamond" w:eastAsia="Garamond" w:hAnsi="Garamond"/>
          <w:b w:val="false"/>
          <w:bCs w:val="false"/>
          <w:i w:val="false"/>
          <w:iCs w:val="false"/>
          <w:color w:val="444444"/>
          <w:sz w:val="21"/>
          <w:szCs w:val="21"/>
        </w:rPr>
        <w:t xml:space="preserve">The research side is where my training is real. My MBA work at Eastern has been built on systematic literature reviews — synthesizing scholarship across periods and methodological traditions on organizational change and student success — alongside applied study of how adult learners engage with course platforms, combining usage data with qualitative stakeholder analysis. That is the habit of reading widely and arguing from evidence that any humanities seminar wants students to acquire, even if the evidence I work with is not visual.</w:t>
      </w:r>
    </w:p>
    <w:p>
      <w:pPr>
        <w:spacing w:after="200" w:before="0"/>
        <w:jc w:val="left"/>
      </w:pPr>
      <w:r>
        <w:rPr>
          <w:rFonts w:ascii="Garamond" w:cs="Garamond" w:eastAsia="Garamond" w:hAnsi="Garamond"/>
          <w:b w:val="false"/>
          <w:bCs w:val="false"/>
          <w:i w:val="false"/>
          <w:iCs w:val="false"/>
          <w:color w:val="444444"/>
          <w:sz w:val="21"/>
          <w:szCs w:val="21"/>
        </w:rPr>
        <w:t xml:space="preserve">If the department ever needs a course assistant, a section administrator, or someone to carry the operational load of a two-hundred-seat survey so its art historians can teach, I would welcome that conversation. Thank you for the time it took to read this.</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