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00"/>
          <w:sz w:val="48"/>
          <w:szCs w:val="48"/>
        </w:rPr>
        <w:t xml:space="preserve">MAX MIHIR OZA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201 247 1371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120" w:before="80"/>
      </w:pPr>
    </w:p>
    <w:p>
      <w:pPr>
        <w:spacing w:after="24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August 24, 2026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2C2C2C"/>
          <w:sz w:val="22"/>
          <w:szCs w:val="22"/>
        </w:rPr>
        <w:t xml:space="preserve">Search Committee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Adjunct Instructor - Foundations - Fine Art Search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College of Human Development, Culture, and Media  ·  Seton Hall University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South Orange, New Jersey</w:t>
      </w:r>
    </w:p>
    <w:p>
      <w:pPr>
        <w:spacing w:after="280" w:before="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19"/>
          <w:szCs w:val="19"/>
        </w:rPr>
        <w:t xml:space="preserve">Re: Adjunct Instructor - Foundations - Fine Art (Job No. 495460)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C2C2C"/>
          <w:sz w:val="21"/>
          <w:szCs w:val="21"/>
        </w:rPr>
        <w:t xml:space="preserve">Dear Members of the Search Committee,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 am writing about the Foundations adjunct opening in Fine Art. This fall I start the Ph.D. in Higher Education Leadership, Management and Policy at Seton Hall; my connection to the university is therefore about to become a daily one, and I would like to be useful to the College of Human Development, Culture, and Media in whatever capacity my background actually supports.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That background is not studio practice, and I will say so before saying anything else: I do not hold an MFA in visual art, and I have not taught drawing, 2D design and color, watercolor, figure drawing, illustration, or digital photography. Those are the stated requirements and I meet none of them. A foundations sequence is where students learn to see, and it should be taught by someone who makes work.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Where I can speak with authority is the machinery that surrounds a studio course. At Eastern University, as Graduate Assistant across two high-enrollment courses of more than two hundred students each, I owned section setup, Canvas and Brightspace administration, enrollment monitoring, materials procurement, and academic records — and worked alongside faculty on assessment design, grading workflows, and grade-change documentation. Foundations courses live or die on whether supplies arrive, sections balance, and grading rubrics are applied consistently across sections; that is the part I have run before.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My professional life has also been spent close to people who make images for a living. At Mangu Publishers I served as Senior PM and Technical Lead, delivering a platform through six enhancement cycles with intake from more than fifty stakeholders, and building the knowledge-management and records systems the operation ran on. At Interpublic Group I coordinated enterprise system implementations for six hundred users across its subsidiary agencies, delivering platform migrations seventy-five percent ahead of schedule while briefing senior leadership monthly.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If the department needs a studio coordinator, a materials and budget manager, or an administrative partner for the foundations sequence more than it needs another instructor, I would be glad to be considered for that instead. Thank you for reviewing the application.</w:t>
      </w:r>
    </w:p>
    <w:p>
      <w:pPr>
        <w:spacing w:after="240" w:before="1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Sincerely,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Max Mihir Oza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180 Littleton Rd, Parsippany, NJ 07054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201 247 1371  ·  ozamihir@shu.edu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2026-08-14T04:45:25.921Z</dcterms:created>
  <dcterms:modified xsi:type="dcterms:W3CDTF">2026-08-14T04:45:25.921Z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