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Studio-Course Operations &amp; Undergraduate Instruction Support  ·  Incoming Seton Hall Doctoral Researcher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Incoming Seton Hall doctoral student in Higher Education Leadership, Management and Policy with direct experience supporting undergraduate course delivery from section setup through final grade submission. As a Graduate Assistant at Eastern University, ran the full course lifecycle for two high-enrollment courses (200+ students per semester), including LMS administration in Canvas and Brightspace, enrollment monitoring, course materials procurement, and collaboration with faculty on assessment design, grading workflows, and grade-change documentation. Currently completing an MBA with a 3.87 GPA.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Professional background sits on the production and publishing side of visual work: served as Senior PM and Technical Lead at Mangu Publishers, leading platform delivery and building the records and knowledge-management systems behind it, and earlier coordinated enterprise implementations across the subsidiary agencies of Interpublic Group. Consistent strength is making a course or a studio operation run predictably — materials ordered on time, rosters accurate, students answered, records clean.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students, including first-year and returning learners.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First-year and foundation-level student success  ·  Academic operations and institutional effectiveness  ·  Data-informed decision-making and continuous improvement  ·  Digital transformation in postsecondary institutions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Undergraduate Course Lifecycle Support (200+ Students per Semester)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Course Materials Procurement, Budget Tracking &amp; Vendor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Assessment Design &amp; Grading Workflows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Publishing &amp; Agency Platform Delivery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Registration, Enrollment &amp; Student Inquiry Triage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Student Referral &amp; Advising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SOPs, Trackers &amp; Process Documentation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Event, Open House &amp; Program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Institutional Analytics &amp; Research Design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Stakeholder, Faculty &amp; Executive Communication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