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jc w:val="center"/>
      </w:pPr>
      <w:r>
        <w:rPr>
          <w:rFonts w:ascii="Calibri" w:cs="Calibri" w:eastAsia="Calibri" w:hAnsi="Calibri"/>
          <w:b w:val="false"/>
          <w:bCs w:val="false"/>
          <w:i w:val="false"/>
          <w:iCs w:val="false"/>
          <w:color w:val="1A1A1A"/>
          <w:spacing w:val="120"/>
          <w:sz w:val="52"/>
          <w:szCs w:val="52"/>
        </w:rPr>
        <w:t xml:space="preserve">MAX MIHIR OZA</w:t>
      </w:r>
    </w:p>
    <w:p>
      <w:pPr>
        <w:spacing w:after="60" w:before="0"/>
        <w:jc w:val="center"/>
      </w:pPr>
      <w:r>
        <w:rPr>
          <w:rFonts w:ascii="Garamond" w:cs="Garamond" w:eastAsia="Garamond" w:hAnsi="Garamond"/>
          <w:b w:val="false"/>
          <w:bCs w:val="false"/>
          <w:i/>
          <w:iCs/>
          <w:color w:val="888888"/>
          <w:sz w:val="20"/>
          <w:szCs w:val="20"/>
        </w:rPr>
        <w:t xml:space="preserve">Digital Product &amp; Software Delivery  ·  Incoming Seton Hall Doctoral Researcher in Higher Education</w:t>
      </w:r>
    </w:p>
    <w:p>
      <w:pPr>
        <w:spacing w:after="100" w:before="0"/>
        <w:jc w:val="center"/>
      </w:pPr>
      <w:r>
        <w:rPr>
          <w:rFonts w:ascii="Calibri" w:cs="Calibri" w:eastAsia="Calibri" w:hAnsi="Calibri"/>
          <w:b w:val="false"/>
          <w:bCs w:val="false"/>
          <w:i w:val="false"/>
          <w:iCs w:val="false"/>
          <w:color w:val="888888"/>
          <w:sz w:val="18"/>
          <w:szCs w:val="18"/>
        </w:rPr>
        <w:t xml:space="preserve">Parsippany, NJ</w:t>
      </w:r>
      <w:r>
        <w:rPr>
          <w:rFonts w:ascii="Calibri" w:cs="Calibri" w:eastAsia="Calibri" w:hAnsi="Calibri"/>
          <w:b w:val="false"/>
          <w:bCs w:val="false"/>
          <w:i w:val="false"/>
          <w:iCs w:val="false"/>
          <w:color w:val="CCCCCC"/>
          <w:sz w:val="18"/>
          <w:szCs w:val="18"/>
        </w:rPr>
        <w:t xml:space="preserve">  ·  </w:t>
      </w:r>
      <w:r>
        <w:rPr>
          <w:rFonts w:ascii="Calibri" w:cs="Calibri" w:eastAsia="Calibri" w:hAnsi="Calibri"/>
          <w:b w:val="false"/>
          <w:bCs w:val="false"/>
          <w:i w:val="false"/>
          <w:iCs w:val="false"/>
          <w:color w:val="888888"/>
          <w:sz w:val="18"/>
          <w:szCs w:val="18"/>
        </w:rPr>
        <w:t xml:space="preserve">(201) 247-1371</w:t>
      </w:r>
      <w:r>
        <w:rPr>
          <w:rFonts w:ascii="Calibri" w:cs="Calibri" w:eastAsia="Calibri" w:hAnsi="Calibri"/>
          <w:b w:val="false"/>
          <w:bCs w:val="false"/>
          <w:i w:val="false"/>
          <w:iCs w:val="false"/>
          <w:color w:val="CCCCCC"/>
          <w:sz w:val="18"/>
          <w:szCs w:val="18"/>
        </w:rPr>
        <w:t xml:space="preserve">  ·  </w:t>
      </w:r>
      <w:r>
        <w:rPr>
          <w:rFonts w:ascii="Calibri" w:cs="Calibri" w:eastAsia="Calibri" w:hAnsi="Calibri"/>
          <w:b w:val="false"/>
          <w:bCs w:val="false"/>
          <w:i w:val="false"/>
          <w:iCs w:val="false"/>
          <w:color w:val="888888"/>
          <w:sz w:val="18"/>
          <w:szCs w:val="18"/>
        </w:rPr>
        <w:t xml:space="preserve">ozamihir@shu.edu</w:t>
      </w:r>
      <w:r>
        <w:rPr>
          <w:rFonts w:ascii="Calibri" w:cs="Calibri" w:eastAsia="Calibri" w:hAnsi="Calibri"/>
          <w:b w:val="false"/>
          <w:bCs w:val="false"/>
          <w:i w:val="false"/>
          <w:iCs w:val="false"/>
          <w:color w:val="CCCCCC"/>
          <w:sz w:val="18"/>
          <w:szCs w:val="18"/>
        </w:rPr>
        <w:t xml:space="preserve">  ·  </w:t>
      </w:r>
      <w:r>
        <w:rPr>
          <w:rFonts w:ascii="Calibri" w:cs="Calibri" w:eastAsia="Calibri" w:hAnsi="Calibri"/>
          <w:b w:val="false"/>
          <w:bCs w:val="false"/>
          <w:i w:val="false"/>
          <w:iCs w:val="false"/>
          <w:color w:val="888888"/>
          <w:sz w:val="18"/>
          <w:szCs w:val="18"/>
        </w:rPr>
        <w:t xml:space="preserve">linkedin.com/in/mihir-oza</w:t>
      </w:r>
    </w:p>
    <w:p>
      <w:pPr>
        <w:pBdr>
          <w:bottom w:val="single" w:color="CCCCCC" w:sz="6"/>
        </w:pBdr>
        <w:spacing w:after="80" w:before="80"/>
      </w:pPr>
    </w:p>
    <w:p>
      <w:pPr>
        <w:pBdr>
          <w:bottom w:val="single" w:color="2C2C2C" w:sz="8"/>
        </w:pBdr>
        <w:spacing w:after="60" w:before="280"/>
      </w:pPr>
      <w:r>
        <w:rPr>
          <w:rFonts w:ascii="Calibri" w:cs="Calibri" w:eastAsia="Calibri" w:hAnsi="Calibri"/>
          <w:b/>
          <w:bCs/>
          <w:i w:val="false"/>
          <w:iCs w:val="false"/>
          <w:color w:val="1A1A1A"/>
          <w:spacing w:val="80"/>
          <w:sz w:val="18"/>
          <w:szCs w:val="18"/>
        </w:rPr>
        <w:t xml:space="preserve">PROFILE</w:t>
      </w:r>
    </w:p>
    <w:p>
      <w:pPr>
        <w:spacing w:after="60" w:before="100"/>
      </w:pPr>
      <w:r>
        <w:rPr>
          <w:rFonts w:ascii="Garamond" w:cs="Garamond" w:eastAsia="Garamond" w:hAnsi="Garamond"/>
          <w:b w:val="false"/>
          <w:bCs w:val="false"/>
          <w:i w:val="false"/>
          <w:iCs w:val="false"/>
          <w:color w:val="555555"/>
          <w:sz w:val="20"/>
          <w:szCs w:val="20"/>
        </w:rPr>
        <w:t xml:space="preserve">Technical product and program leader with 13+ years delivering interactive digital platforms, now moving into higher education as an incoming Seton Hall doctoral student in Higher Education Leadership, Management and Policy. Served as Senior PM and Technical Lead at Mangu Publishers, running full lifecycle platform implementation across six enhancement cycles with intake from 50+ stakeholders, and completed a Software Engineering Bootcamp at General Assembly in 2025. Currently completing an MBA with concentrations including Artificial Intelligence and a 3.87 GPA.</w:t>
      </w:r>
    </w:p>
    <w:p>
      <w:pPr>
        <w:spacing w:after="60" w:before="100"/>
      </w:pPr>
      <w:r>
        <w:rPr>
          <w:rFonts w:ascii="Garamond" w:cs="Garamond" w:eastAsia="Garamond" w:hAnsi="Garamond"/>
          <w:b w:val="false"/>
          <w:bCs w:val="false"/>
          <w:i w:val="false"/>
          <w:iCs w:val="false"/>
          <w:color w:val="555555"/>
          <w:sz w:val="20"/>
          <w:szCs w:val="20"/>
        </w:rPr>
        <w:t xml:space="preserve">Classroom-side experience comes from a Graduate Assistantship at Eastern University supporting two high-enrollment courses (200+ students per semester) — LMS administration in Canvas and Brightspace, assessment design, grading workflows, and academic progress monitoring. Comfortable teaching the production discipline that surrounds creative software work: iterative release cycles, scoping, sprint-based revision, and shipping on a deadline.</w:t>
      </w:r>
    </w:p>
    <w:p>
      <w:pPr>
        <w:pBdr>
          <w:bottom w:val="single" w:color="2C2C2C" w:sz="8"/>
        </w:pBdr>
        <w:spacing w:after="60" w:before="280"/>
      </w:pPr>
      <w:r>
        <w:rPr>
          <w:rFonts w:ascii="Calibri" w:cs="Calibri" w:eastAsia="Calibri" w:hAnsi="Calibri"/>
          <w:b/>
          <w:bCs/>
          <w:i w:val="false"/>
          <w:iCs w:val="false"/>
          <w:color w:val="1A1A1A"/>
          <w:spacing w:val="80"/>
          <w:sz w:val="18"/>
          <w:szCs w:val="18"/>
        </w:rPr>
        <w:t xml:space="preserve">EDUCATION</w:t>
      </w:r>
    </w:p>
    <w:p>
      <w:pPr>
        <w:tabs>
          <w:tab w:val="right" w:pos="10100"/>
        </w:tabs>
        <w:spacing w:after="20" w:before="160"/>
      </w:pPr>
      <w:r>
        <w:rPr>
          <w:rFonts w:ascii="Garamond" w:cs="Garamond" w:eastAsia="Garamond" w:hAnsi="Garamond"/>
          <w:b/>
          <w:bCs/>
          <w:i w:val="false"/>
          <w:iCs w:val="false"/>
          <w:color w:val="1A1A1A"/>
          <w:sz w:val="22"/>
          <w:szCs w:val="22"/>
        </w:rPr>
        <w:t xml:space="preserve">Ph.D. in Higher Education Leadership, Management and Policy</w:t>
      </w:r>
      <w:r>
        <w:rPr>
          <w:rFonts w:ascii="Garamond" w:cs="Garamond" w:eastAsia="Garamond" w:hAnsi="Garamond"/>
          <w:sz w:val="20"/>
          <w:szCs w:val="20"/>
        </w:rPr>
        <w:t xml:space="preserve">	</w:t>
      </w:r>
      <w:r>
        <w:rPr>
          <w:rFonts w:ascii="Calibri" w:cs="Calibri" w:eastAsia="Calibri" w:hAnsi="Calibri"/>
          <w:b w:val="false"/>
          <w:bCs w:val="false"/>
          <w:i w:val="false"/>
          <w:iCs w:val="false"/>
          <w:color w:val="888888"/>
          <w:sz w:val="18"/>
          <w:szCs w:val="18"/>
        </w:rPr>
        <w:t xml:space="preserve">Enrolled Fall 2026</w:t>
      </w:r>
    </w:p>
    <w:p>
      <w:pPr>
        <w:spacing w:after="20" w:before="0"/>
      </w:pPr>
      <w:r>
        <w:rPr>
          <w:rFonts w:ascii="Garamond" w:cs="Garamond" w:eastAsia="Garamond" w:hAnsi="Garamond"/>
          <w:b w:val="false"/>
          <w:bCs w:val="false"/>
          <w:i/>
          <w:iCs/>
          <w:color w:val="555555"/>
          <w:sz w:val="20"/>
          <w:szCs w:val="20"/>
        </w:rPr>
        <w:t xml:space="preserve">Seton Hall University</w:t>
      </w:r>
      <w:r>
        <w:rPr>
          <w:rFonts w:ascii="Garamond" w:cs="Garamond" w:eastAsia="Garamond" w:hAnsi="Garamond"/>
          <w:b w:val="false"/>
          <w:bCs w:val="false"/>
          <w:i w:val="false"/>
          <w:iCs w:val="false"/>
          <w:color w:val="888888"/>
          <w:sz w:val="20"/>
          <w:szCs w:val="20"/>
        </w:rPr>
        <w:t xml:space="preserve">  ·  </w:t>
      </w:r>
      <w:r>
        <w:rPr>
          <w:rFonts w:ascii="Garamond" w:cs="Garamond" w:eastAsia="Garamond" w:hAnsi="Garamond"/>
          <w:b w:val="false"/>
          <w:bCs w:val="false"/>
          <w:i w:val="false"/>
          <w:iCs w:val="false"/>
          <w:color w:val="888888"/>
          <w:sz w:val="20"/>
          <w:szCs w:val="20"/>
        </w:rPr>
        <w:t xml:space="preserve">South Orange, NJ</w:t>
      </w:r>
    </w:p>
    <w:p>
      <w:pPr>
        <w:tabs>
          <w:tab w:val="right" w:pos="10100"/>
        </w:tabs>
        <w:spacing w:after="20" w:before="160"/>
      </w:pPr>
      <w:r>
        <w:rPr>
          <w:rFonts w:ascii="Garamond" w:cs="Garamond" w:eastAsia="Garamond" w:hAnsi="Garamond"/>
          <w:b/>
          <w:bCs/>
          <w:i w:val="false"/>
          <w:iCs w:val="false"/>
          <w:color w:val="1A1A1A"/>
          <w:sz w:val="22"/>
          <w:szCs w:val="22"/>
        </w:rPr>
        <w:t xml:space="preserve">Master of Business Administration, Organizational Management</w:t>
      </w:r>
      <w:r>
        <w:rPr>
          <w:rFonts w:ascii="Garamond" w:cs="Garamond" w:eastAsia="Garamond" w:hAnsi="Garamond"/>
          <w:sz w:val="20"/>
          <w:szCs w:val="20"/>
        </w:rPr>
        <w:t xml:space="preserve">	</w:t>
      </w:r>
      <w:r>
        <w:rPr>
          <w:rFonts w:ascii="Calibri" w:cs="Calibri" w:eastAsia="Calibri" w:hAnsi="Calibri"/>
          <w:b w:val="false"/>
          <w:bCs w:val="false"/>
          <w:i w:val="false"/>
          <w:iCs w:val="false"/>
          <w:color w:val="888888"/>
          <w:sz w:val="18"/>
          <w:szCs w:val="18"/>
        </w:rPr>
        <w:t xml:space="preserve">Expected Fall 2026</w:t>
      </w:r>
    </w:p>
    <w:p>
      <w:pPr>
        <w:spacing w:after="20" w:before="0"/>
      </w:pPr>
      <w:r>
        <w:rPr>
          <w:rFonts w:ascii="Garamond" w:cs="Garamond" w:eastAsia="Garamond" w:hAnsi="Garamond"/>
          <w:b w:val="false"/>
          <w:bCs w:val="false"/>
          <w:i/>
          <w:iCs/>
          <w:color w:val="555555"/>
          <w:sz w:val="20"/>
          <w:szCs w:val="20"/>
        </w:rPr>
        <w:t xml:space="preserve">Eastern University</w:t>
      </w:r>
      <w:r>
        <w:rPr>
          <w:rFonts w:ascii="Garamond" w:cs="Garamond" w:eastAsia="Garamond" w:hAnsi="Garamond"/>
          <w:b w:val="false"/>
          <w:bCs w:val="false"/>
          <w:i w:val="false"/>
          <w:iCs w:val="false"/>
          <w:color w:val="888888"/>
          <w:sz w:val="20"/>
          <w:szCs w:val="20"/>
        </w:rPr>
        <w:t xml:space="preserve">  ·  </w:t>
      </w:r>
      <w:r>
        <w:rPr>
          <w:rFonts w:ascii="Garamond" w:cs="Garamond" w:eastAsia="Garamond" w:hAnsi="Garamond"/>
          <w:b w:val="false"/>
          <w:bCs w:val="false"/>
          <w:i w:val="false"/>
          <w:iCs w:val="false"/>
          <w:color w:val="888888"/>
          <w:sz w:val="20"/>
          <w:szCs w:val="20"/>
        </w:rPr>
        <w:t xml:space="preserve">St. Davids, PA</w:t>
      </w:r>
    </w:p>
    <w:p>
      <w:pPr>
        <w:spacing w:after="20" w:before="0"/>
      </w:pPr>
      <w:r>
        <w:rPr>
          <w:rFonts w:ascii="Garamond" w:cs="Garamond" w:eastAsia="Garamond" w:hAnsi="Garamond"/>
          <w:b w:val="false"/>
          <w:bCs w:val="false"/>
          <w:i w:val="false"/>
          <w:iCs w:val="false"/>
          <w:color w:val="888888"/>
          <w:sz w:val="19"/>
          <w:szCs w:val="19"/>
        </w:rPr>
        <w:t xml:space="preserve">GPA: 3.87 / 4.0   ·   Concentrations: Human Resources · Artificial Intelligence · Sustainable Development</w:t>
      </w:r>
    </w:p>
    <w:p>
      <w:pPr>
        <w:spacing w:after="20" w:before="0"/>
      </w:pPr>
      <w:r>
        <w:rPr>
          <w:rFonts w:ascii="Garamond" w:cs="Garamond" w:eastAsia="Garamond" w:hAnsi="Garamond"/>
          <w:b w:val="false"/>
          <w:bCs w:val="false"/>
          <w:i w:val="false"/>
          <w:iCs w:val="false"/>
          <w:color w:val="888888"/>
          <w:sz w:val="19"/>
          <w:szCs w:val="19"/>
        </w:rPr>
        <w:t xml:space="preserve">Relevant coursework: Organizational Change &amp; Development · Data Analytics for Decision-Making · Technology Strategy · Research Methods</w:t>
      </w:r>
    </w:p>
    <w:p>
      <w:pPr>
        <w:tabs>
          <w:tab w:val="right" w:pos="10100"/>
        </w:tabs>
        <w:spacing w:after="20" w:before="160"/>
      </w:pPr>
      <w:r>
        <w:rPr>
          <w:rFonts w:ascii="Garamond" w:cs="Garamond" w:eastAsia="Garamond" w:hAnsi="Garamond"/>
          <w:b/>
          <w:bCs/>
          <w:i w:val="false"/>
          <w:iCs w:val="false"/>
          <w:color w:val="1A1A1A"/>
          <w:sz w:val="22"/>
          <w:szCs w:val="22"/>
        </w:rPr>
        <w:t xml:space="preserve">Bachelor of Science in Business Administration, Marketing</w:t>
      </w:r>
      <w:r>
        <w:rPr>
          <w:rFonts w:ascii="Garamond" w:cs="Garamond" w:eastAsia="Garamond" w:hAnsi="Garamond"/>
          <w:sz w:val="20"/>
          <w:szCs w:val="20"/>
        </w:rPr>
        <w:t xml:space="preserve">	</w:t>
      </w:r>
      <w:r>
        <w:rPr>
          <w:rFonts w:ascii="Calibri" w:cs="Calibri" w:eastAsia="Calibri" w:hAnsi="Calibri"/>
          <w:b w:val="false"/>
          <w:bCs w:val="false"/>
          <w:i w:val="false"/>
          <w:iCs w:val="false"/>
          <w:color w:val="888888"/>
          <w:sz w:val="18"/>
          <w:szCs w:val="18"/>
        </w:rPr>
        <w:t xml:space="preserve">2010</w:t>
      </w:r>
    </w:p>
    <w:p>
      <w:pPr>
        <w:spacing w:after="20" w:before="0"/>
      </w:pPr>
      <w:r>
        <w:rPr>
          <w:rFonts w:ascii="Garamond" w:cs="Garamond" w:eastAsia="Garamond" w:hAnsi="Garamond"/>
          <w:b w:val="false"/>
          <w:bCs w:val="false"/>
          <w:i/>
          <w:iCs/>
          <w:color w:val="555555"/>
          <w:sz w:val="20"/>
          <w:szCs w:val="20"/>
        </w:rPr>
        <w:t xml:space="preserve">Drexel University</w:t>
      </w:r>
      <w:r>
        <w:rPr>
          <w:rFonts w:ascii="Garamond" w:cs="Garamond" w:eastAsia="Garamond" w:hAnsi="Garamond"/>
          <w:b w:val="false"/>
          <w:bCs w:val="false"/>
          <w:i w:val="false"/>
          <w:iCs w:val="false"/>
          <w:color w:val="888888"/>
          <w:sz w:val="20"/>
          <w:szCs w:val="20"/>
        </w:rPr>
        <w:t xml:space="preserve">  ·  </w:t>
      </w:r>
      <w:r>
        <w:rPr>
          <w:rFonts w:ascii="Garamond" w:cs="Garamond" w:eastAsia="Garamond" w:hAnsi="Garamond"/>
          <w:b w:val="false"/>
          <w:bCs w:val="false"/>
          <w:i w:val="false"/>
          <w:iCs w:val="false"/>
          <w:color w:val="888888"/>
          <w:sz w:val="20"/>
          <w:szCs w:val="20"/>
        </w:rPr>
        <w:t xml:space="preserve">Philadelphia, PA</w:t>
      </w:r>
    </w:p>
    <w:p>
      <w:pPr>
        <w:pBdr>
          <w:bottom w:val="single" w:color="2C2C2C" w:sz="8"/>
        </w:pBdr>
        <w:spacing w:after="60" w:before="280"/>
      </w:pPr>
      <w:r>
        <w:rPr>
          <w:rFonts w:ascii="Calibri" w:cs="Calibri" w:eastAsia="Calibri" w:hAnsi="Calibri"/>
          <w:b/>
          <w:bCs/>
          <w:i w:val="false"/>
          <w:iCs w:val="false"/>
          <w:color w:val="1A1A1A"/>
          <w:spacing w:val="80"/>
          <w:sz w:val="18"/>
          <w:szCs w:val="18"/>
        </w:rPr>
        <w:t xml:space="preserve">HIGHER EDUCATION EXPERIENCE</w:t>
      </w:r>
    </w:p>
    <w:p>
      <w:pPr>
        <w:tabs>
          <w:tab w:val="right" w:pos="10100"/>
        </w:tabs>
        <w:spacing w:after="40" w:before="160"/>
      </w:pPr>
      <w:r>
        <w:rPr>
          <w:rFonts w:ascii="Garamond" w:cs="Garamond" w:eastAsia="Garamond" w:hAnsi="Garamond"/>
          <w:b/>
          <w:bCs/>
          <w:i w:val="false"/>
          <w:iCs w:val="false"/>
          <w:color w:val="1A1A1A"/>
          <w:sz w:val="22"/>
          <w:szCs w:val="22"/>
        </w:rPr>
        <w:t xml:space="preserve">Graduate Assistant — Academic &amp; Course Support</w:t>
      </w:r>
      <w:r>
        <w:rPr>
          <w:rFonts w:ascii="Garamond" w:cs="Garamond" w:eastAsia="Garamond" w:hAnsi="Garamond"/>
          <w:b w:val="false"/>
          <w:bCs w:val="false"/>
          <w:i w:val="false"/>
          <w:iCs w:val="false"/>
          <w:color w:val="888888"/>
          <w:sz w:val="20"/>
          <w:szCs w:val="20"/>
        </w:rPr>
        <w:t xml:space="preserve">  ·  </w:t>
      </w:r>
      <w:r>
        <w:rPr>
          <w:rFonts w:ascii="Garamond" w:cs="Garamond" w:eastAsia="Garamond" w:hAnsi="Garamond"/>
          <w:b w:val="false"/>
          <w:bCs w:val="false"/>
          <w:i/>
          <w:iCs/>
          <w:color w:val="555555"/>
          <w:sz w:val="20"/>
          <w:szCs w:val="20"/>
        </w:rPr>
        <w:t xml:space="preserve">Eastern University</w:t>
      </w:r>
      <w:r>
        <w:rPr>
          <w:rFonts w:ascii="Garamond" w:cs="Garamond" w:eastAsia="Garamond" w:hAnsi="Garamond"/>
          <w:b w:val="false"/>
          <w:bCs w:val="false"/>
          <w:i w:val="false"/>
          <w:iCs w:val="false"/>
          <w:color w:val="888888"/>
          <w:sz w:val="20"/>
          <w:szCs w:val="20"/>
        </w:rPr>
        <w:t xml:space="preserve">  ·  </w:t>
      </w:r>
      <w:r>
        <w:rPr>
          <w:rFonts w:ascii="Garamond" w:cs="Garamond" w:eastAsia="Garamond" w:hAnsi="Garamond"/>
          <w:b w:val="false"/>
          <w:bCs w:val="false"/>
          <w:i w:val="false"/>
          <w:iCs w:val="false"/>
          <w:color w:val="888888"/>
          <w:sz w:val="20"/>
          <w:szCs w:val="20"/>
        </w:rPr>
        <w:t xml:space="preserve">St. Davids, PA</w:t>
      </w:r>
      <w:r>
        <w:rPr>
          <w:rFonts w:ascii="Garamond" w:cs="Garamond" w:eastAsia="Garamond" w:hAnsi="Garamond"/>
          <w:sz w:val="20"/>
          <w:szCs w:val="20"/>
        </w:rPr>
        <w:t xml:space="preserve">	</w:t>
      </w:r>
      <w:r>
        <w:rPr>
          <w:rFonts w:ascii="Calibri" w:cs="Calibri" w:eastAsia="Calibri" w:hAnsi="Calibri"/>
          <w:b w:val="false"/>
          <w:bCs w:val="false"/>
          <w:i w:val="false"/>
          <w:iCs w:val="false"/>
          <w:color w:val="888888"/>
          <w:sz w:val="18"/>
          <w:szCs w:val="18"/>
        </w:rPr>
        <w:t xml:space="preserve">May – Dec 2025</w:t>
      </w:r>
    </w:p>
    <w:p>
      <w:pPr>
        <w:pStyle w:val="ListParagraph"/>
        <w:numPr>
          <w:ilvl w:val="0"/>
          <w:numId w:val="1"/>
        </w:numPr>
        <w:spacing w:after="30" w:before="30"/>
        <w:ind w:left="360" w:hanging="200"/>
      </w:pPr>
      <w:r>
        <w:rPr>
          <w:rFonts w:ascii="Garamond" w:cs="Garamond" w:eastAsia="Garamond" w:hAnsi="Garamond"/>
          <w:b w:val="false"/>
          <w:bCs w:val="false"/>
          <w:i w:val="false"/>
          <w:iCs w:val="false"/>
          <w:color w:val="555555"/>
          <w:sz w:val="20"/>
          <w:szCs w:val="20"/>
        </w:rPr>
        <w:t xml:space="preserve">Managed full course lifecycle across two high-enrollment courses (200+ students per semester) — LMS administration (Canvas / Brightspace), section setup, enrollment monitoring, textbook procurement, and academic records maintenance.</w:t>
      </w:r>
    </w:p>
    <w:p>
      <w:pPr>
        <w:pStyle w:val="ListParagraph"/>
        <w:numPr>
          <w:ilvl w:val="0"/>
          <w:numId w:val="1"/>
        </w:numPr>
        <w:spacing w:after="30" w:before="30"/>
        <w:ind w:left="360" w:hanging="200"/>
      </w:pPr>
      <w:r>
        <w:rPr>
          <w:rFonts w:ascii="Garamond" w:cs="Garamond" w:eastAsia="Garamond" w:hAnsi="Garamond"/>
          <w:b w:val="false"/>
          <w:bCs w:val="false"/>
          <w:i w:val="false"/>
          <w:iCs w:val="false"/>
          <w:color w:val="555555"/>
          <w:sz w:val="20"/>
          <w:szCs w:val="20"/>
        </w:rPr>
        <w:t xml:space="preserve">Supported assessment design, grading workflows, grade-change documentation, and academic progress monitoring in close collaboration with course faculty.</w:t>
      </w:r>
    </w:p>
    <w:p>
      <w:pPr>
        <w:pStyle w:val="ListParagraph"/>
        <w:numPr>
          <w:ilvl w:val="0"/>
          <w:numId w:val="1"/>
        </w:numPr>
        <w:spacing w:after="30" w:before="30"/>
        <w:ind w:left="360" w:hanging="200"/>
      </w:pPr>
      <w:r>
        <w:rPr>
          <w:rFonts w:ascii="Garamond" w:cs="Garamond" w:eastAsia="Garamond" w:hAnsi="Garamond"/>
          <w:b w:val="false"/>
          <w:bCs w:val="false"/>
          <w:i w:val="false"/>
          <w:iCs w:val="false"/>
          <w:color w:val="555555"/>
          <w:sz w:val="20"/>
          <w:szCs w:val="20"/>
        </w:rPr>
        <w:t xml:space="preserve">Handled student records and performance data with strict confidentiality; surfaced at-risk students through trend analysis and produced formal reports informing targeted instructional interventions.</w:t>
      </w:r>
    </w:p>
    <w:p>
      <w:pPr>
        <w:pStyle w:val="ListParagraph"/>
        <w:numPr>
          <w:ilvl w:val="0"/>
          <w:numId w:val="1"/>
        </w:numPr>
        <w:spacing w:after="30" w:before="30"/>
        <w:ind w:left="360" w:hanging="200"/>
      </w:pPr>
      <w:r>
        <w:rPr>
          <w:rFonts w:ascii="Garamond" w:cs="Garamond" w:eastAsia="Garamond" w:hAnsi="Garamond"/>
          <w:b w:val="false"/>
          <w:bCs w:val="false"/>
          <w:i w:val="false"/>
          <w:iCs w:val="false"/>
          <w:color w:val="555555"/>
          <w:sz w:val="20"/>
          <w:szCs w:val="20"/>
        </w:rPr>
        <w:t xml:space="preserve">Served as first point of contact for student inquiries; triaged routine questions, escalated complex cases to faculty, and coordinated referrals to advising offices, tracking each item through resolution.</w:t>
      </w:r>
    </w:p>
    <w:p>
      <w:pPr>
        <w:pBdr>
          <w:bottom w:val="single" w:color="2C2C2C" w:sz="8"/>
        </w:pBdr>
        <w:spacing w:after="60" w:before="280"/>
      </w:pPr>
      <w:r>
        <w:rPr>
          <w:rFonts w:ascii="Calibri" w:cs="Calibri" w:eastAsia="Calibri" w:hAnsi="Calibri"/>
          <w:b/>
          <w:bCs/>
          <w:i w:val="false"/>
          <w:iCs w:val="false"/>
          <w:color w:val="1A1A1A"/>
          <w:spacing w:val="80"/>
          <w:sz w:val="18"/>
          <w:szCs w:val="18"/>
        </w:rPr>
        <w:t xml:space="preserve">OPERATIONS &amp; ADMINISTRATIVE EXPERIENCE</w:t>
      </w:r>
    </w:p>
    <w:p>
      <w:pPr>
        <w:tabs>
          <w:tab w:val="right" w:pos="10100"/>
        </w:tabs>
        <w:spacing w:after="40" w:before="160"/>
      </w:pPr>
      <w:r>
        <w:rPr>
          <w:rFonts w:ascii="Garamond" w:cs="Garamond" w:eastAsia="Garamond" w:hAnsi="Garamond"/>
          <w:b/>
          <w:bCs/>
          <w:i w:val="false"/>
          <w:iCs w:val="false"/>
          <w:color w:val="1A1A1A"/>
          <w:sz w:val="22"/>
          <w:szCs w:val="22"/>
        </w:rPr>
        <w:t xml:space="preserve">Senior PM &amp; Technical Lead</w:t>
      </w:r>
      <w:r>
        <w:rPr>
          <w:rFonts w:ascii="Garamond" w:cs="Garamond" w:eastAsia="Garamond" w:hAnsi="Garamond"/>
          <w:b w:val="false"/>
          <w:bCs w:val="false"/>
          <w:i w:val="false"/>
          <w:iCs w:val="false"/>
          <w:color w:val="888888"/>
          <w:sz w:val="20"/>
          <w:szCs w:val="20"/>
        </w:rPr>
        <w:t xml:space="preserve">  ·  </w:t>
      </w:r>
      <w:r>
        <w:rPr>
          <w:rFonts w:ascii="Garamond" w:cs="Garamond" w:eastAsia="Garamond" w:hAnsi="Garamond"/>
          <w:b w:val="false"/>
          <w:bCs w:val="false"/>
          <w:i/>
          <w:iCs/>
          <w:color w:val="555555"/>
          <w:sz w:val="20"/>
          <w:szCs w:val="20"/>
        </w:rPr>
        <w:t xml:space="preserve">Mangu Publishers</w:t>
      </w:r>
      <w:r>
        <w:rPr>
          <w:rFonts w:ascii="Garamond" w:cs="Garamond" w:eastAsia="Garamond" w:hAnsi="Garamond"/>
          <w:b w:val="false"/>
          <w:bCs w:val="false"/>
          <w:i w:val="false"/>
          <w:iCs w:val="false"/>
          <w:color w:val="888888"/>
          <w:sz w:val="20"/>
          <w:szCs w:val="20"/>
        </w:rPr>
        <w:t xml:space="preserve">  ·  </w:t>
      </w:r>
      <w:r>
        <w:rPr>
          <w:rFonts w:ascii="Garamond" w:cs="Garamond" w:eastAsia="Garamond" w:hAnsi="Garamond"/>
          <w:b w:val="false"/>
          <w:bCs w:val="false"/>
          <w:i w:val="false"/>
          <w:iCs w:val="false"/>
          <w:color w:val="888888"/>
          <w:sz w:val="20"/>
          <w:szCs w:val="20"/>
        </w:rPr>
        <w:t xml:space="preserve">Parsippany, NJ</w:t>
      </w:r>
      <w:r>
        <w:rPr>
          <w:rFonts w:ascii="Garamond" w:cs="Garamond" w:eastAsia="Garamond" w:hAnsi="Garamond"/>
          <w:sz w:val="20"/>
          <w:szCs w:val="20"/>
        </w:rPr>
        <w:t xml:space="preserve">	</w:t>
      </w:r>
      <w:r>
        <w:rPr>
          <w:rFonts w:ascii="Calibri" w:cs="Calibri" w:eastAsia="Calibri" w:hAnsi="Calibri"/>
          <w:b w:val="false"/>
          <w:bCs w:val="false"/>
          <w:i w:val="false"/>
          <w:iCs w:val="false"/>
          <w:color w:val="888888"/>
          <w:sz w:val="18"/>
          <w:szCs w:val="18"/>
        </w:rPr>
        <w:t xml:space="preserve">Jan 2023 – Dec 2025</w:t>
      </w:r>
    </w:p>
    <w:p>
      <w:pPr>
        <w:pStyle w:val="ListParagraph"/>
        <w:numPr>
          <w:ilvl w:val="0"/>
          <w:numId w:val="1"/>
        </w:numPr>
        <w:spacing w:after="30" w:before="30"/>
        <w:ind w:left="360" w:hanging="200"/>
      </w:pPr>
      <w:r>
        <w:rPr>
          <w:rFonts w:ascii="Garamond" w:cs="Garamond" w:eastAsia="Garamond" w:hAnsi="Garamond"/>
          <w:b w:val="false"/>
          <w:bCs w:val="false"/>
          <w:i w:val="false"/>
          <w:iCs w:val="false"/>
          <w:color w:val="555555"/>
          <w:sz w:val="20"/>
          <w:szCs w:val="20"/>
        </w:rPr>
        <w:t xml:space="preserve">Led full lifecycle implementation of a resource-matching platform; conducted intake sessions with 50+ stakeholders and delivered 12 enhancements across six cycles.</w:t>
      </w:r>
    </w:p>
    <w:p>
      <w:pPr>
        <w:pStyle w:val="ListParagraph"/>
        <w:numPr>
          <w:ilvl w:val="0"/>
          <w:numId w:val="1"/>
        </w:numPr>
        <w:spacing w:after="30" w:before="30"/>
        <w:ind w:left="360" w:hanging="200"/>
      </w:pPr>
      <w:r>
        <w:rPr>
          <w:rFonts w:ascii="Garamond" w:cs="Garamond" w:eastAsia="Garamond" w:hAnsi="Garamond"/>
          <w:b w:val="false"/>
          <w:bCs w:val="false"/>
          <w:i w:val="false"/>
          <w:iCs w:val="false"/>
          <w:color w:val="555555"/>
          <w:sz w:val="20"/>
          <w:szCs w:val="20"/>
        </w:rPr>
        <w:t xml:space="preserve">Built standardized knowledge management and records infrastructure — retiring 30+ outdated materials and improving information retrieval efficiency by 50%.</w:t>
      </w:r>
    </w:p>
    <w:p>
      <w:pPr>
        <w:tabs>
          <w:tab w:val="right" w:pos="10100"/>
        </w:tabs>
        <w:spacing w:after="40" w:before="160"/>
      </w:pPr>
      <w:r>
        <w:rPr>
          <w:rFonts w:ascii="Garamond" w:cs="Garamond" w:eastAsia="Garamond" w:hAnsi="Garamond"/>
          <w:b/>
          <w:bCs/>
          <w:i w:val="false"/>
          <w:iCs w:val="false"/>
          <w:color w:val="1A1A1A"/>
          <w:sz w:val="22"/>
          <w:szCs w:val="22"/>
        </w:rPr>
        <w:t xml:space="preserve">Senior Project Manager</w:t>
      </w:r>
      <w:r>
        <w:rPr>
          <w:rFonts w:ascii="Garamond" w:cs="Garamond" w:eastAsia="Garamond" w:hAnsi="Garamond"/>
          <w:b w:val="false"/>
          <w:bCs w:val="false"/>
          <w:i w:val="false"/>
          <w:iCs w:val="false"/>
          <w:color w:val="888888"/>
          <w:sz w:val="20"/>
          <w:szCs w:val="20"/>
        </w:rPr>
        <w:t xml:space="preserve">  ·  </w:t>
      </w:r>
      <w:r>
        <w:rPr>
          <w:rFonts w:ascii="Garamond" w:cs="Garamond" w:eastAsia="Garamond" w:hAnsi="Garamond"/>
          <w:b w:val="false"/>
          <w:bCs w:val="false"/>
          <w:i/>
          <w:iCs/>
          <w:color w:val="555555"/>
          <w:sz w:val="20"/>
          <w:szCs w:val="20"/>
        </w:rPr>
        <w:t xml:space="preserve">Millennium Systems International</w:t>
      </w:r>
      <w:r>
        <w:rPr>
          <w:rFonts w:ascii="Garamond" w:cs="Garamond" w:eastAsia="Garamond" w:hAnsi="Garamond"/>
          <w:b w:val="false"/>
          <w:bCs w:val="false"/>
          <w:i w:val="false"/>
          <w:iCs w:val="false"/>
          <w:color w:val="888888"/>
          <w:sz w:val="20"/>
          <w:szCs w:val="20"/>
        </w:rPr>
        <w:t xml:space="preserve">  ·  </w:t>
      </w:r>
      <w:r>
        <w:rPr>
          <w:rFonts w:ascii="Garamond" w:cs="Garamond" w:eastAsia="Garamond" w:hAnsi="Garamond"/>
          <w:b w:val="false"/>
          <w:bCs w:val="false"/>
          <w:i w:val="false"/>
          <w:iCs w:val="false"/>
          <w:color w:val="888888"/>
          <w:sz w:val="20"/>
          <w:szCs w:val="20"/>
        </w:rPr>
        <w:t xml:space="preserve">Parsippany, NJ</w:t>
      </w:r>
      <w:r>
        <w:rPr>
          <w:rFonts w:ascii="Garamond" w:cs="Garamond" w:eastAsia="Garamond" w:hAnsi="Garamond"/>
          <w:sz w:val="20"/>
          <w:szCs w:val="20"/>
        </w:rPr>
        <w:t xml:space="preserve">	</w:t>
      </w:r>
      <w:r>
        <w:rPr>
          <w:rFonts w:ascii="Calibri" w:cs="Calibri" w:eastAsia="Calibri" w:hAnsi="Calibri"/>
          <w:b w:val="false"/>
          <w:bCs w:val="false"/>
          <w:i w:val="false"/>
          <w:iCs w:val="false"/>
          <w:color w:val="888888"/>
          <w:sz w:val="18"/>
          <w:szCs w:val="18"/>
        </w:rPr>
        <w:t xml:space="preserve">Nov 2019 – Dec 2020</w:t>
      </w:r>
    </w:p>
    <w:p>
      <w:pPr>
        <w:pStyle w:val="ListParagraph"/>
        <w:numPr>
          <w:ilvl w:val="0"/>
          <w:numId w:val="1"/>
        </w:numPr>
        <w:spacing w:after="30" w:before="30"/>
        <w:ind w:left="360" w:hanging="200"/>
      </w:pPr>
      <w:r>
        <w:rPr>
          <w:rFonts w:ascii="Garamond" w:cs="Garamond" w:eastAsia="Garamond" w:hAnsi="Garamond"/>
          <w:b w:val="false"/>
          <w:bCs w:val="false"/>
          <w:i w:val="false"/>
          <w:iCs w:val="false"/>
          <w:color w:val="555555"/>
          <w:sz w:val="20"/>
          <w:szCs w:val="20"/>
        </w:rPr>
        <w:t xml:space="preserve">Increased development productivity 45% through workflow optimization; served as Scrum Master across three annual releases.</w:t>
      </w:r>
    </w:p>
    <w:p>
      <w:pPr>
        <w:pStyle w:val="ListParagraph"/>
        <w:numPr>
          <w:ilvl w:val="0"/>
          <w:numId w:val="1"/>
        </w:numPr>
        <w:spacing w:after="30" w:before="30"/>
        <w:ind w:left="360" w:hanging="200"/>
      </w:pPr>
      <w:r>
        <w:rPr>
          <w:rFonts w:ascii="Garamond" w:cs="Garamond" w:eastAsia="Garamond" w:hAnsi="Garamond"/>
          <w:b w:val="false"/>
          <w:bCs w:val="false"/>
          <w:i w:val="false"/>
          <w:iCs w:val="false"/>
          <w:color w:val="555555"/>
          <w:sz w:val="20"/>
          <w:szCs w:val="20"/>
        </w:rPr>
        <w:t xml:space="preserve">Chaired a $50M annual budget committee — reviewing spend, vendor commitments, and funding priorities; achieved 90% quarterly deliverable completion.</w:t>
      </w:r>
    </w:p>
    <w:p>
      <w:pPr>
        <w:tabs>
          <w:tab w:val="right" w:pos="10100"/>
        </w:tabs>
        <w:spacing w:after="40" w:before="160"/>
      </w:pPr>
      <w:r>
        <w:rPr>
          <w:rFonts w:ascii="Garamond" w:cs="Garamond" w:eastAsia="Garamond" w:hAnsi="Garamond"/>
          <w:b/>
          <w:bCs/>
          <w:i w:val="false"/>
          <w:iCs w:val="false"/>
          <w:color w:val="1A1A1A"/>
          <w:sz w:val="22"/>
          <w:szCs w:val="22"/>
        </w:rPr>
        <w:t xml:space="preserve">Technical Project Manager</w:t>
      </w:r>
      <w:r>
        <w:rPr>
          <w:rFonts w:ascii="Garamond" w:cs="Garamond" w:eastAsia="Garamond" w:hAnsi="Garamond"/>
          <w:b w:val="false"/>
          <w:bCs w:val="false"/>
          <w:i w:val="false"/>
          <w:iCs w:val="false"/>
          <w:color w:val="888888"/>
          <w:sz w:val="20"/>
          <w:szCs w:val="20"/>
        </w:rPr>
        <w:t xml:space="preserve">  ·  </w:t>
      </w:r>
      <w:r>
        <w:rPr>
          <w:rFonts w:ascii="Garamond" w:cs="Garamond" w:eastAsia="Garamond" w:hAnsi="Garamond"/>
          <w:b w:val="false"/>
          <w:bCs w:val="false"/>
          <w:i/>
          <w:iCs/>
          <w:color w:val="555555"/>
          <w:sz w:val="20"/>
          <w:szCs w:val="20"/>
        </w:rPr>
        <w:t xml:space="preserve">Interpublic Group of Companies</w:t>
      </w:r>
      <w:r>
        <w:rPr>
          <w:rFonts w:ascii="Garamond" w:cs="Garamond" w:eastAsia="Garamond" w:hAnsi="Garamond"/>
          <w:b w:val="false"/>
          <w:bCs w:val="false"/>
          <w:i w:val="false"/>
          <w:iCs w:val="false"/>
          <w:color w:val="888888"/>
          <w:sz w:val="20"/>
          <w:szCs w:val="20"/>
        </w:rPr>
        <w:t xml:space="preserve">  ·  </w:t>
      </w:r>
      <w:r>
        <w:rPr>
          <w:rFonts w:ascii="Garamond" w:cs="Garamond" w:eastAsia="Garamond" w:hAnsi="Garamond"/>
          <w:b w:val="false"/>
          <w:bCs w:val="false"/>
          <w:i w:val="false"/>
          <w:iCs w:val="false"/>
          <w:color w:val="888888"/>
          <w:sz w:val="20"/>
          <w:szCs w:val="20"/>
        </w:rPr>
        <w:t xml:space="preserve">Jersey City, NJ</w:t>
      </w:r>
      <w:r>
        <w:rPr>
          <w:rFonts w:ascii="Garamond" w:cs="Garamond" w:eastAsia="Garamond" w:hAnsi="Garamond"/>
          <w:sz w:val="20"/>
          <w:szCs w:val="20"/>
        </w:rPr>
        <w:t xml:space="preserve">	</w:t>
      </w:r>
      <w:r>
        <w:rPr>
          <w:rFonts w:ascii="Calibri" w:cs="Calibri" w:eastAsia="Calibri" w:hAnsi="Calibri"/>
          <w:b w:val="false"/>
          <w:bCs w:val="false"/>
          <w:i w:val="false"/>
          <w:iCs w:val="false"/>
          <w:color w:val="888888"/>
          <w:sz w:val="18"/>
          <w:szCs w:val="18"/>
        </w:rPr>
        <w:t xml:space="preserve">2023</w:t>
      </w:r>
    </w:p>
    <w:p>
      <w:pPr>
        <w:pStyle w:val="ListParagraph"/>
        <w:numPr>
          <w:ilvl w:val="0"/>
          <w:numId w:val="1"/>
        </w:numPr>
        <w:spacing w:after="30" w:before="30"/>
        <w:ind w:left="360" w:hanging="200"/>
      </w:pPr>
      <w:r>
        <w:rPr>
          <w:rFonts w:ascii="Garamond" w:cs="Garamond" w:eastAsia="Garamond" w:hAnsi="Garamond"/>
          <w:b w:val="false"/>
          <w:bCs w:val="false"/>
          <w:i w:val="false"/>
          <w:iCs w:val="false"/>
          <w:color w:val="555555"/>
          <w:sz w:val="20"/>
          <w:szCs w:val="20"/>
        </w:rPr>
        <w:t xml:space="preserve">Coordinated enterprise system implementations (Salesforce, Microsoft Dynamics 365, Maximo, Active Directory) for 600 users across multiple subsidiary agencies.</w:t>
      </w:r>
    </w:p>
    <w:p>
      <w:pPr>
        <w:pStyle w:val="ListParagraph"/>
        <w:numPr>
          <w:ilvl w:val="0"/>
          <w:numId w:val="1"/>
        </w:numPr>
        <w:spacing w:after="30" w:before="30"/>
        <w:ind w:left="360" w:hanging="200"/>
      </w:pPr>
      <w:r>
        <w:rPr>
          <w:rFonts w:ascii="Garamond" w:cs="Garamond" w:eastAsia="Garamond" w:hAnsi="Garamond"/>
          <w:b w:val="false"/>
          <w:bCs w:val="false"/>
          <w:i w:val="false"/>
          <w:iCs w:val="false"/>
          <w:color w:val="555555"/>
          <w:sz w:val="20"/>
          <w:szCs w:val="20"/>
        </w:rPr>
        <w:t xml:space="preserve">Delivered platform migration projects 75% ahead of schedule; facilitated monthly executive briefings and maintained status trackers for senior leadership.</w:t>
      </w:r>
    </w:p>
    <w:p>
      <w:pPr>
        <w:tabs>
          <w:tab w:val="right" w:pos="10100"/>
        </w:tabs>
        <w:spacing w:after="40" w:before="160"/>
      </w:pPr>
      <w:r>
        <w:rPr>
          <w:rFonts w:ascii="Garamond" w:cs="Garamond" w:eastAsia="Garamond" w:hAnsi="Garamond"/>
          <w:b/>
          <w:bCs/>
          <w:i w:val="false"/>
          <w:iCs w:val="false"/>
          <w:color w:val="1A1A1A"/>
          <w:sz w:val="22"/>
          <w:szCs w:val="22"/>
        </w:rPr>
        <w:t xml:space="preserve">Program Manager</w:t>
      </w:r>
      <w:r>
        <w:rPr>
          <w:rFonts w:ascii="Garamond" w:cs="Garamond" w:eastAsia="Garamond" w:hAnsi="Garamond"/>
          <w:b w:val="false"/>
          <w:bCs w:val="false"/>
          <w:i w:val="false"/>
          <w:iCs w:val="false"/>
          <w:color w:val="888888"/>
          <w:sz w:val="20"/>
          <w:szCs w:val="20"/>
        </w:rPr>
        <w:t xml:space="preserve">  ·  </w:t>
      </w:r>
      <w:r>
        <w:rPr>
          <w:rFonts w:ascii="Garamond" w:cs="Garamond" w:eastAsia="Garamond" w:hAnsi="Garamond"/>
          <w:b w:val="false"/>
          <w:bCs w:val="false"/>
          <w:i/>
          <w:iCs/>
          <w:color w:val="555555"/>
          <w:sz w:val="20"/>
          <w:szCs w:val="20"/>
        </w:rPr>
        <w:t xml:space="preserve">HCL Americas (Becton Dickinson &amp; Bristol Myers Squibb)</w:t>
      </w:r>
      <w:r>
        <w:rPr>
          <w:rFonts w:ascii="Garamond" w:cs="Garamond" w:eastAsia="Garamond" w:hAnsi="Garamond"/>
          <w:b w:val="false"/>
          <w:bCs w:val="false"/>
          <w:i w:val="false"/>
          <w:iCs w:val="false"/>
          <w:color w:val="888888"/>
          <w:sz w:val="20"/>
          <w:szCs w:val="20"/>
        </w:rPr>
        <w:t xml:space="preserve">  ·  </w:t>
      </w:r>
      <w:r>
        <w:rPr>
          <w:rFonts w:ascii="Garamond" w:cs="Garamond" w:eastAsia="Garamond" w:hAnsi="Garamond"/>
          <w:b w:val="false"/>
          <w:bCs w:val="false"/>
          <w:i w:val="false"/>
          <w:iCs w:val="false"/>
          <w:color w:val="888888"/>
          <w:sz w:val="20"/>
          <w:szCs w:val="20"/>
        </w:rPr>
        <w:t xml:space="preserve">Franklin Lakes, NJ</w:t>
      </w:r>
      <w:r>
        <w:rPr>
          <w:rFonts w:ascii="Garamond" w:cs="Garamond" w:eastAsia="Garamond" w:hAnsi="Garamond"/>
          <w:sz w:val="20"/>
          <w:szCs w:val="20"/>
        </w:rPr>
        <w:t xml:space="preserve">	</w:t>
      </w:r>
      <w:r>
        <w:rPr>
          <w:rFonts w:ascii="Calibri" w:cs="Calibri" w:eastAsia="Calibri" w:hAnsi="Calibri"/>
          <w:b w:val="false"/>
          <w:bCs w:val="false"/>
          <w:i w:val="false"/>
          <w:iCs w:val="false"/>
          <w:color w:val="888888"/>
          <w:sz w:val="18"/>
          <w:szCs w:val="18"/>
        </w:rPr>
        <w:t xml:space="preserve">Apr 2021 – Aug 2022</w:t>
      </w:r>
    </w:p>
    <w:p>
      <w:pPr>
        <w:pStyle w:val="ListParagraph"/>
        <w:numPr>
          <w:ilvl w:val="0"/>
          <w:numId w:val="1"/>
        </w:numPr>
        <w:spacing w:after="30" w:before="30"/>
        <w:ind w:left="360" w:hanging="200"/>
      </w:pPr>
      <w:r>
        <w:rPr>
          <w:rFonts w:ascii="Garamond" w:cs="Garamond" w:eastAsia="Garamond" w:hAnsi="Garamond"/>
          <w:b w:val="false"/>
          <w:bCs w:val="false"/>
          <w:i w:val="false"/>
          <w:iCs w:val="false"/>
          <w:color w:val="555555"/>
          <w:sz w:val="20"/>
          <w:szCs w:val="20"/>
        </w:rPr>
        <w:t xml:space="preserve">Directed three cloud migration projects and a 10,000-user client migration; established centralized KPI reporting dashboards for executive decision-making.</w:t>
      </w:r>
    </w:p>
    <w:p>
      <w:pPr>
        <w:pStyle w:val="ListParagraph"/>
        <w:numPr>
          <w:ilvl w:val="0"/>
          <w:numId w:val="1"/>
        </w:numPr>
        <w:spacing w:after="30" w:before="30"/>
        <w:ind w:left="360" w:hanging="200"/>
      </w:pPr>
      <w:r>
        <w:rPr>
          <w:rFonts w:ascii="Garamond" w:cs="Garamond" w:eastAsia="Garamond" w:hAnsi="Garamond"/>
          <w:b w:val="false"/>
          <w:bCs w:val="false"/>
          <w:i w:val="false"/>
          <w:iCs w:val="false"/>
          <w:color w:val="555555"/>
          <w:sz w:val="20"/>
          <w:szCs w:val="20"/>
        </w:rPr>
        <w:t xml:space="preserve">Designed submission and approval automation across 49 business lines, eliminating manual intake processes and generating $10M in documented annual savings.</w:t>
      </w:r>
    </w:p>
    <w:p>
      <w:pPr>
        <w:tabs>
          <w:tab w:val="right" w:pos="10100"/>
        </w:tabs>
        <w:spacing w:after="40" w:before="160"/>
      </w:pPr>
      <w:r>
        <w:rPr>
          <w:rFonts w:ascii="Garamond" w:cs="Garamond" w:eastAsia="Garamond" w:hAnsi="Garamond"/>
          <w:b/>
          <w:bCs/>
          <w:i w:val="false"/>
          <w:iCs w:val="false"/>
          <w:color w:val="1A1A1A"/>
          <w:sz w:val="22"/>
          <w:szCs w:val="22"/>
        </w:rPr>
        <w:t xml:space="preserve">Senior Technical Product Manager</w:t>
      </w:r>
      <w:r>
        <w:rPr>
          <w:rFonts w:ascii="Garamond" w:cs="Garamond" w:eastAsia="Garamond" w:hAnsi="Garamond"/>
          <w:b w:val="false"/>
          <w:bCs w:val="false"/>
          <w:i w:val="false"/>
          <w:iCs w:val="false"/>
          <w:color w:val="888888"/>
          <w:sz w:val="20"/>
          <w:szCs w:val="20"/>
        </w:rPr>
        <w:t xml:space="preserve">  ·  </w:t>
      </w:r>
      <w:r>
        <w:rPr>
          <w:rFonts w:ascii="Garamond" w:cs="Garamond" w:eastAsia="Garamond" w:hAnsi="Garamond"/>
          <w:b w:val="false"/>
          <w:bCs w:val="false"/>
          <w:i/>
          <w:iCs/>
          <w:color w:val="555555"/>
          <w:sz w:val="20"/>
          <w:szCs w:val="20"/>
        </w:rPr>
        <w:t xml:space="preserve">Société Générale</w:t>
      </w:r>
      <w:r>
        <w:rPr>
          <w:rFonts w:ascii="Garamond" w:cs="Garamond" w:eastAsia="Garamond" w:hAnsi="Garamond"/>
          <w:b w:val="false"/>
          <w:bCs w:val="false"/>
          <w:i w:val="false"/>
          <w:iCs w:val="false"/>
          <w:color w:val="888888"/>
          <w:sz w:val="20"/>
          <w:szCs w:val="20"/>
        </w:rPr>
        <w:t xml:space="preserve">  ·  </w:t>
      </w:r>
      <w:r>
        <w:rPr>
          <w:rFonts w:ascii="Garamond" w:cs="Garamond" w:eastAsia="Garamond" w:hAnsi="Garamond"/>
          <w:b w:val="false"/>
          <w:bCs w:val="false"/>
          <w:i w:val="false"/>
          <w:iCs w:val="false"/>
          <w:color w:val="888888"/>
          <w:sz w:val="20"/>
          <w:szCs w:val="20"/>
        </w:rPr>
        <w:t xml:space="preserve">New York, NY</w:t>
      </w:r>
      <w:r>
        <w:rPr>
          <w:rFonts w:ascii="Garamond" w:cs="Garamond" w:eastAsia="Garamond" w:hAnsi="Garamond"/>
          <w:sz w:val="20"/>
          <w:szCs w:val="20"/>
        </w:rPr>
        <w:t xml:space="preserve">	</w:t>
      </w:r>
      <w:r>
        <w:rPr>
          <w:rFonts w:ascii="Calibri" w:cs="Calibri" w:eastAsia="Calibri" w:hAnsi="Calibri"/>
          <w:b w:val="false"/>
          <w:bCs w:val="false"/>
          <w:i w:val="false"/>
          <w:iCs w:val="false"/>
          <w:color w:val="888888"/>
          <w:sz w:val="18"/>
          <w:szCs w:val="18"/>
        </w:rPr>
        <w:t xml:space="preserve">Sep 2017 – Oct 2019</w:t>
      </w:r>
    </w:p>
    <w:p>
      <w:pPr>
        <w:pStyle w:val="ListParagraph"/>
        <w:numPr>
          <w:ilvl w:val="0"/>
          <w:numId w:val="1"/>
        </w:numPr>
        <w:spacing w:after="30" w:before="30"/>
        <w:ind w:left="360" w:hanging="200"/>
      </w:pPr>
      <w:r>
        <w:rPr>
          <w:rFonts w:ascii="Garamond" w:cs="Garamond" w:eastAsia="Garamond" w:hAnsi="Garamond"/>
          <w:b w:val="false"/>
          <w:bCs w:val="false"/>
          <w:i w:val="false"/>
          <w:iCs w:val="false"/>
          <w:color w:val="555555"/>
          <w:sz w:val="20"/>
          <w:szCs w:val="20"/>
        </w:rPr>
        <w:t xml:space="preserve">Delivered federally mandated regulatory reports six weeks ahead of schedule within a $1.5M budget.</w:t>
      </w:r>
    </w:p>
    <w:p>
      <w:pPr>
        <w:pStyle w:val="ListParagraph"/>
        <w:numPr>
          <w:ilvl w:val="0"/>
          <w:numId w:val="1"/>
        </w:numPr>
        <w:spacing w:after="30" w:before="30"/>
        <w:ind w:left="360" w:hanging="200"/>
      </w:pPr>
      <w:r>
        <w:rPr>
          <w:rFonts w:ascii="Garamond" w:cs="Garamond" w:eastAsia="Garamond" w:hAnsi="Garamond"/>
          <w:b w:val="false"/>
          <w:bCs w:val="false"/>
          <w:i w:val="false"/>
          <w:iCs w:val="false"/>
          <w:color w:val="555555"/>
          <w:sz w:val="20"/>
          <w:szCs w:val="20"/>
        </w:rPr>
        <w:t xml:space="preserve">Scaled a team from 6 to 55 — managing hiring documentation, onboarding, coverage planning, and timekeeping — realizing $800K in operational savings.</w:t>
      </w:r>
    </w:p>
    <w:p>
      <w:pPr>
        <w:spacing w:after="20" w:before="120"/>
      </w:pPr>
      <w:r>
        <w:rPr>
          <w:rFonts w:ascii="Garamond" w:cs="Garamond" w:eastAsia="Garamond" w:hAnsi="Garamond"/>
          <w:b w:val="false"/>
          <w:bCs w:val="false"/>
          <w:i w:val="false"/>
          <w:iCs w:val="false"/>
          <w:color w:val="888888"/>
          <w:sz w:val="19"/>
          <w:szCs w:val="19"/>
        </w:rPr>
        <w:t xml:space="preserve">Earlier Roles: Technical Project Manager, progressive responsibilities — Mizuho Bank, Jersey City, NJ (2016–2017)  ·  L'Oréal USA, Berkeley Heights, NJ (2015)  ·  Investors Bank, Short Hills, NJ (2013–2015)  ·  Financial Executives International, Morristown, NJ (2011–2013)</w:t>
      </w:r>
    </w:p>
    <w:p>
      <w:pPr>
        <w:pBdr>
          <w:bottom w:val="single" w:color="2C2C2C" w:sz="8"/>
        </w:pBdr>
        <w:spacing w:after="60" w:before="280"/>
      </w:pPr>
      <w:r>
        <w:rPr>
          <w:rFonts w:ascii="Calibri" w:cs="Calibri" w:eastAsia="Calibri" w:hAnsi="Calibri"/>
          <w:b/>
          <w:bCs/>
          <w:i w:val="false"/>
          <w:iCs w:val="false"/>
          <w:color w:val="1A1A1A"/>
          <w:spacing w:val="80"/>
          <w:sz w:val="18"/>
          <w:szCs w:val="18"/>
        </w:rPr>
        <w:t xml:space="preserve">RESEARCH &amp; SCHOLARLY ENGAGEMENT</w:t>
      </w:r>
    </w:p>
    <w:p>
      <w:pPr>
        <w:tabs>
          <w:tab w:val="right" w:pos="10100"/>
        </w:tabs>
        <w:spacing w:after="40" w:before="160"/>
      </w:pPr>
      <w:r>
        <w:rPr>
          <w:rFonts w:ascii="Garamond" w:cs="Garamond" w:eastAsia="Garamond" w:hAnsi="Garamond"/>
          <w:b/>
          <w:bCs/>
          <w:i w:val="false"/>
          <w:iCs w:val="false"/>
          <w:color w:val="1A1A1A"/>
          <w:sz w:val="22"/>
          <w:szCs w:val="22"/>
        </w:rPr>
        <w:t xml:space="preserve">Graduate Research — MBA Program</w:t>
      </w:r>
      <w:r>
        <w:rPr>
          <w:rFonts w:ascii="Garamond" w:cs="Garamond" w:eastAsia="Garamond" w:hAnsi="Garamond"/>
          <w:b w:val="false"/>
          <w:bCs w:val="false"/>
          <w:i w:val="false"/>
          <w:iCs w:val="false"/>
          <w:color w:val="888888"/>
          <w:sz w:val="20"/>
          <w:szCs w:val="20"/>
        </w:rPr>
        <w:t xml:space="preserve">  ·  </w:t>
      </w:r>
      <w:r>
        <w:rPr>
          <w:rFonts w:ascii="Garamond" w:cs="Garamond" w:eastAsia="Garamond" w:hAnsi="Garamond"/>
          <w:b w:val="false"/>
          <w:bCs w:val="false"/>
          <w:i/>
          <w:iCs/>
          <w:color w:val="555555"/>
          <w:sz w:val="20"/>
          <w:szCs w:val="20"/>
        </w:rPr>
        <w:t xml:space="preserve">Eastern University</w:t>
      </w:r>
      <w:r>
        <w:rPr>
          <w:rFonts w:ascii="Garamond" w:cs="Garamond" w:eastAsia="Garamond" w:hAnsi="Garamond"/>
          <w:b w:val="false"/>
          <w:bCs w:val="false"/>
          <w:i w:val="false"/>
          <w:iCs w:val="false"/>
          <w:color w:val="888888"/>
          <w:sz w:val="20"/>
          <w:szCs w:val="20"/>
        </w:rPr>
        <w:t xml:space="preserve">  ·  </w:t>
      </w:r>
      <w:r>
        <w:rPr>
          <w:rFonts w:ascii="Garamond" w:cs="Garamond" w:eastAsia="Garamond" w:hAnsi="Garamond"/>
          <w:b w:val="false"/>
          <w:bCs w:val="false"/>
          <w:i w:val="false"/>
          <w:iCs w:val="false"/>
          <w:color w:val="888888"/>
          <w:sz w:val="20"/>
          <w:szCs w:val="20"/>
        </w:rPr>
        <w:t xml:space="preserve">St. Davids, PA</w:t>
      </w:r>
      <w:r>
        <w:rPr>
          <w:rFonts w:ascii="Garamond" w:cs="Garamond" w:eastAsia="Garamond" w:hAnsi="Garamond"/>
          <w:sz w:val="20"/>
          <w:szCs w:val="20"/>
        </w:rPr>
        <w:t xml:space="preserve">	</w:t>
      </w:r>
      <w:r>
        <w:rPr>
          <w:rFonts w:ascii="Calibri" w:cs="Calibri" w:eastAsia="Calibri" w:hAnsi="Calibri"/>
          <w:b w:val="false"/>
          <w:bCs w:val="false"/>
          <w:i w:val="false"/>
          <w:iCs w:val="false"/>
          <w:color w:val="888888"/>
          <w:sz w:val="18"/>
          <w:szCs w:val="18"/>
        </w:rPr>
        <w:t xml:space="preserve">2024 – Present</w:t>
      </w:r>
    </w:p>
    <w:p>
      <w:pPr>
        <w:pStyle w:val="ListParagraph"/>
        <w:numPr>
          <w:ilvl w:val="0"/>
          <w:numId w:val="1"/>
        </w:numPr>
        <w:spacing w:after="30" w:before="30"/>
        <w:ind w:left="360" w:hanging="200"/>
      </w:pPr>
      <w:r>
        <w:rPr>
          <w:rFonts w:ascii="Garamond" w:cs="Garamond" w:eastAsia="Garamond" w:hAnsi="Garamond"/>
          <w:b w:val="false"/>
          <w:bCs w:val="false"/>
          <w:i w:val="false"/>
          <w:iCs w:val="false"/>
          <w:color w:val="555555"/>
          <w:sz w:val="20"/>
          <w:szCs w:val="20"/>
        </w:rPr>
        <w:t xml:space="preserve">Conducted applied research on technology adoption and engagement patterns among adult learners within interactive digital environments; findings informed recommendations on platform optimization and institutional effectiveness.</w:t>
      </w:r>
    </w:p>
    <w:p>
      <w:pPr>
        <w:pStyle w:val="ListParagraph"/>
        <w:numPr>
          <w:ilvl w:val="0"/>
          <w:numId w:val="1"/>
        </w:numPr>
        <w:spacing w:after="30" w:before="30"/>
        <w:ind w:left="360" w:hanging="200"/>
      </w:pPr>
      <w:r>
        <w:rPr>
          <w:rFonts w:ascii="Garamond" w:cs="Garamond" w:eastAsia="Garamond" w:hAnsi="Garamond"/>
          <w:b w:val="false"/>
          <w:bCs w:val="false"/>
          <w:i w:val="false"/>
          <w:iCs w:val="false"/>
          <w:color w:val="555555"/>
          <w:sz w:val="20"/>
          <w:szCs w:val="20"/>
        </w:rPr>
        <w:t xml:space="preserve">Executed systematic literature reviews on digital transformation, organizational change, and student success frameworks in postsecondary education.</w:t>
      </w:r>
    </w:p>
    <w:p>
      <w:pPr>
        <w:pStyle w:val="ListParagraph"/>
        <w:numPr>
          <w:ilvl w:val="0"/>
          <w:numId w:val="1"/>
        </w:numPr>
        <w:spacing w:after="30" w:before="30"/>
        <w:ind w:left="360" w:hanging="200"/>
      </w:pPr>
      <w:r>
        <w:rPr>
          <w:rFonts w:ascii="Garamond" w:cs="Garamond" w:eastAsia="Garamond" w:hAnsi="Garamond"/>
          <w:b w:val="false"/>
          <w:bCs w:val="false"/>
          <w:i w:val="false"/>
          <w:iCs w:val="false"/>
          <w:color w:val="555555"/>
          <w:sz w:val="20"/>
          <w:szCs w:val="20"/>
        </w:rPr>
        <w:t xml:space="preserve">Developed data-informed recommendations integrating quantitative usage data with qualitative stakeholder analysis to improve how learners are supported inside software platforms.</w:t>
      </w:r>
    </w:p>
    <w:p>
      <w:pPr>
        <w:spacing w:after="20" w:before="120"/>
      </w:pPr>
      <w:r>
        <w:rPr>
          <w:rFonts w:ascii="Garamond" w:cs="Garamond" w:eastAsia="Garamond" w:hAnsi="Garamond"/>
          <w:b w:val="false"/>
          <w:bCs w:val="false"/>
          <w:i w:val="false"/>
          <w:iCs w:val="false"/>
          <w:color w:val="888888"/>
          <w:sz w:val="19"/>
          <w:szCs w:val="19"/>
        </w:rPr>
        <w:t xml:space="preserve">Research interests: Engagement and interaction design in digital learning environments  ·  Technology adoption among adult learners  ·  Digital transformation in postsecondary institutions  ·  Data-informed decision-making and continuous improvement</w:t>
      </w:r>
    </w:p>
    <w:p>
      <w:pPr>
        <w:pBdr>
          <w:bottom w:val="single" w:color="2C2C2C" w:sz="8"/>
        </w:pBdr>
        <w:spacing w:after="60" w:before="280"/>
      </w:pPr>
      <w:r>
        <w:rPr>
          <w:rFonts w:ascii="Calibri" w:cs="Calibri" w:eastAsia="Calibri" w:hAnsi="Calibri"/>
          <w:b/>
          <w:bCs/>
          <w:i w:val="false"/>
          <w:iCs w:val="false"/>
          <w:color w:val="1A1A1A"/>
          <w:spacing w:val="80"/>
          <w:sz w:val="18"/>
          <w:szCs w:val="18"/>
        </w:rPr>
        <w:t xml:space="preserve">SKILLS &amp; SYSTEMS</w:t>
      </w:r>
    </w:p>
    <w:tbl>
      <w:tblPr>
        <w:tblW w:type="pct" w:w="100%"/>
        <w:tblBorders>
          <w:top w:val="none"/>
          <w:left w:val="none"/>
          <w:bottom w:val="none"/>
          <w:right w:val="none"/>
          <w:insideH w:val="none"/>
          <w:insideV w:val="none"/>
        </w:tblBorders>
      </w:tblPr>
      <w:tblGrid>
        <w:gridCol w:w="100"/>
        <w:gridCol w:w="100"/>
      </w:tblGrid>
      <w:tr>
        <w:tc>
          <w:tcPr>
            <w:tcW w:type="pct" w:w="50%"/>
            <w:tcBorders>
              <w:top w:val="none"/>
              <w:left w:val="none"/>
              <w:bottom w:val="none"/>
              <w:right w:val="none"/>
            </w:tcBorders>
          </w:tcPr>
          <w:p>
            <w:pPr>
              <w:spacing w:after="40" w:before="40"/>
            </w:pPr>
            <w:r>
              <w:rPr>
                <w:rFonts w:ascii="Garamond" w:cs="Garamond" w:eastAsia="Garamond" w:hAnsi="Garamond"/>
                <w:b w:val="false"/>
                <w:bCs w:val="false"/>
                <w:i w:val="false"/>
                <w:iCs w:val="false"/>
                <w:color w:val="888888"/>
                <w:sz w:val="19"/>
                <w:szCs w:val="19"/>
              </w:rPr>
              <w:t xml:space="preserve">— </w:t>
            </w:r>
            <w:r>
              <w:rPr>
                <w:rFonts w:ascii="Garamond" w:cs="Garamond" w:eastAsia="Garamond" w:hAnsi="Garamond"/>
                <w:b w:val="false"/>
                <w:bCs w:val="false"/>
                <w:i w:val="false"/>
                <w:iCs w:val="false"/>
                <w:color w:val="555555"/>
                <w:sz w:val="19"/>
                <w:szCs w:val="19"/>
              </w:rPr>
              <w:t xml:space="preserve">Software Engineering Fundamentals (General Assembly Bootcamp, 2025)</w:t>
            </w:r>
          </w:p>
        </w:tc>
        <w:tc>
          <w:tcPr>
            <w:tcW w:type="pct" w:w="50%"/>
            <w:tcBorders>
              <w:top w:val="none"/>
              <w:left w:val="none"/>
              <w:bottom w:val="none"/>
              <w:right w:val="none"/>
            </w:tcBorders>
          </w:tcPr>
          <w:p>
            <w:pPr>
              <w:spacing w:after="40" w:before="40"/>
            </w:pPr>
            <w:r>
              <w:rPr>
                <w:rFonts w:ascii="Garamond" w:cs="Garamond" w:eastAsia="Garamond" w:hAnsi="Garamond"/>
                <w:b w:val="false"/>
                <w:bCs w:val="false"/>
                <w:i w:val="false"/>
                <w:iCs w:val="false"/>
                <w:color w:val="888888"/>
                <w:sz w:val="19"/>
                <w:szCs w:val="19"/>
              </w:rPr>
              <w:t xml:space="preserve">— </w:t>
            </w:r>
            <w:r>
              <w:rPr>
                <w:rFonts w:ascii="Garamond" w:cs="Garamond" w:eastAsia="Garamond" w:hAnsi="Garamond"/>
                <w:b w:val="false"/>
                <w:bCs w:val="false"/>
                <w:i w:val="false"/>
                <w:iCs w:val="false"/>
                <w:color w:val="555555"/>
                <w:sz w:val="19"/>
                <w:szCs w:val="19"/>
              </w:rPr>
              <w:t xml:space="preserve">Technical Product &amp; Interactive Platform Delivery</w:t>
            </w:r>
          </w:p>
        </w:tc>
      </w:tr>
      <w:tr>
        <w:tc>
          <w:tcPr>
            <w:tcW w:type="pct" w:w="50%"/>
            <w:tcBorders>
              <w:top w:val="none"/>
              <w:left w:val="none"/>
              <w:bottom w:val="none"/>
              <w:right w:val="none"/>
            </w:tcBorders>
          </w:tcPr>
          <w:p>
            <w:pPr>
              <w:spacing w:after="40" w:before="40"/>
            </w:pPr>
            <w:r>
              <w:rPr>
                <w:rFonts w:ascii="Garamond" w:cs="Garamond" w:eastAsia="Garamond" w:hAnsi="Garamond"/>
                <w:b w:val="false"/>
                <w:bCs w:val="false"/>
                <w:i w:val="false"/>
                <w:iCs w:val="false"/>
                <w:color w:val="888888"/>
                <w:sz w:val="19"/>
                <w:szCs w:val="19"/>
              </w:rPr>
              <w:t xml:space="preserve">— </w:t>
            </w:r>
            <w:r>
              <w:rPr>
                <w:rFonts w:ascii="Garamond" w:cs="Garamond" w:eastAsia="Garamond" w:hAnsi="Garamond"/>
                <w:b w:val="false"/>
                <w:bCs w:val="false"/>
                <w:i w:val="false"/>
                <w:iCs w:val="false"/>
                <w:color w:val="555555"/>
                <w:sz w:val="19"/>
                <w:szCs w:val="19"/>
              </w:rPr>
              <w:t xml:space="preserve">Agile / Scrum Facilitation &amp; Release Cycle Management</w:t>
            </w:r>
          </w:p>
        </w:tc>
        <w:tc>
          <w:tcPr>
            <w:tcW w:type="pct" w:w="50%"/>
            <w:tcBorders>
              <w:top w:val="none"/>
              <w:left w:val="none"/>
              <w:bottom w:val="none"/>
              <w:right w:val="none"/>
            </w:tcBorders>
          </w:tcPr>
          <w:p>
            <w:pPr>
              <w:spacing w:after="40" w:before="40"/>
            </w:pPr>
            <w:r>
              <w:rPr>
                <w:rFonts w:ascii="Garamond" w:cs="Garamond" w:eastAsia="Garamond" w:hAnsi="Garamond"/>
                <w:b w:val="false"/>
                <w:bCs w:val="false"/>
                <w:i w:val="false"/>
                <w:iCs w:val="false"/>
                <w:color w:val="888888"/>
                <w:sz w:val="19"/>
                <w:szCs w:val="19"/>
              </w:rPr>
              <w:t xml:space="preserve">— </w:t>
            </w:r>
            <w:r>
              <w:rPr>
                <w:rFonts w:ascii="Garamond" w:cs="Garamond" w:eastAsia="Garamond" w:hAnsi="Garamond"/>
                <w:b w:val="false"/>
                <w:bCs w:val="false"/>
                <w:i w:val="false"/>
                <w:iCs w:val="false"/>
                <w:color w:val="555555"/>
                <w:sz w:val="19"/>
                <w:szCs w:val="19"/>
              </w:rPr>
              <w:t xml:space="preserve">Digital Publishing Technology Leadership</w:t>
            </w:r>
          </w:p>
        </w:tc>
      </w:tr>
      <w:tr>
        <w:tc>
          <w:tcPr>
            <w:tcW w:type="pct" w:w="50%"/>
            <w:tcBorders>
              <w:top w:val="none"/>
              <w:left w:val="none"/>
              <w:bottom w:val="none"/>
              <w:right w:val="none"/>
            </w:tcBorders>
          </w:tcPr>
          <w:p>
            <w:pPr>
              <w:spacing w:after="40" w:before="40"/>
            </w:pPr>
            <w:r>
              <w:rPr>
                <w:rFonts w:ascii="Garamond" w:cs="Garamond" w:eastAsia="Garamond" w:hAnsi="Garamond"/>
                <w:b w:val="false"/>
                <w:bCs w:val="false"/>
                <w:i w:val="false"/>
                <w:iCs w:val="false"/>
                <w:color w:val="888888"/>
                <w:sz w:val="19"/>
                <w:szCs w:val="19"/>
              </w:rPr>
              <w:t xml:space="preserve">— </w:t>
            </w:r>
            <w:r>
              <w:rPr>
                <w:rFonts w:ascii="Garamond" w:cs="Garamond" w:eastAsia="Garamond" w:hAnsi="Garamond"/>
                <w:b w:val="false"/>
                <w:bCs w:val="false"/>
                <w:i w:val="false"/>
                <w:iCs w:val="false"/>
                <w:color w:val="555555"/>
                <w:sz w:val="19"/>
                <w:szCs w:val="19"/>
              </w:rPr>
              <w:t xml:space="preserve">Undergraduate Course Lifecycle Support &amp; LMS Administration</w:t>
            </w:r>
          </w:p>
        </w:tc>
        <w:tc>
          <w:tcPr>
            <w:tcW w:type="pct" w:w="50%"/>
            <w:tcBorders>
              <w:top w:val="none"/>
              <w:left w:val="none"/>
              <w:bottom w:val="none"/>
              <w:right w:val="none"/>
            </w:tcBorders>
          </w:tcPr>
          <w:p>
            <w:pPr>
              <w:spacing w:after="40" w:before="40"/>
            </w:pPr>
            <w:r>
              <w:rPr>
                <w:rFonts w:ascii="Garamond" w:cs="Garamond" w:eastAsia="Garamond" w:hAnsi="Garamond"/>
                <w:b w:val="false"/>
                <w:bCs w:val="false"/>
                <w:i w:val="false"/>
                <w:iCs w:val="false"/>
                <w:color w:val="888888"/>
                <w:sz w:val="19"/>
                <w:szCs w:val="19"/>
              </w:rPr>
              <w:t xml:space="preserve">— </w:t>
            </w:r>
            <w:r>
              <w:rPr>
                <w:rFonts w:ascii="Garamond" w:cs="Garamond" w:eastAsia="Garamond" w:hAnsi="Garamond"/>
                <w:b w:val="false"/>
                <w:bCs w:val="false"/>
                <w:i w:val="false"/>
                <w:iCs w:val="false"/>
                <w:color w:val="555555"/>
                <w:sz w:val="19"/>
                <w:szCs w:val="19"/>
              </w:rPr>
              <w:t xml:space="preserve">LMS &amp; Student Platforms (Canvas, Brightspace, Moodle)</w:t>
            </w:r>
          </w:p>
        </w:tc>
      </w:tr>
      <w:tr>
        <w:tc>
          <w:tcPr>
            <w:tcW w:type="pct" w:w="50%"/>
            <w:tcBorders>
              <w:top w:val="none"/>
              <w:left w:val="none"/>
              <w:bottom w:val="none"/>
              <w:right w:val="none"/>
            </w:tcBorders>
          </w:tcPr>
          <w:p>
            <w:pPr>
              <w:spacing w:after="40" w:before="40"/>
            </w:pPr>
            <w:r>
              <w:rPr>
                <w:rFonts w:ascii="Garamond" w:cs="Garamond" w:eastAsia="Garamond" w:hAnsi="Garamond"/>
                <w:b w:val="false"/>
                <w:bCs w:val="false"/>
                <w:i w:val="false"/>
                <w:iCs w:val="false"/>
                <w:color w:val="888888"/>
                <w:sz w:val="19"/>
                <w:szCs w:val="19"/>
              </w:rPr>
              <w:t xml:space="preserve">— </w:t>
            </w:r>
            <w:r>
              <w:rPr>
                <w:rFonts w:ascii="Garamond" w:cs="Garamond" w:eastAsia="Garamond" w:hAnsi="Garamond"/>
                <w:b w:val="false"/>
                <w:bCs w:val="false"/>
                <w:i w:val="false"/>
                <w:iCs w:val="false"/>
                <w:color w:val="555555"/>
                <w:sz w:val="19"/>
                <w:szCs w:val="19"/>
              </w:rPr>
              <w:t xml:space="preserve">Assessment Design, Grading Workflows &amp; Progress Monitoring</w:t>
            </w:r>
          </w:p>
        </w:tc>
        <w:tc>
          <w:tcPr>
            <w:tcW w:type="pct" w:w="50%"/>
            <w:tcBorders>
              <w:top w:val="none"/>
              <w:left w:val="none"/>
              <w:bottom w:val="none"/>
              <w:right w:val="none"/>
            </w:tcBorders>
          </w:tcPr>
          <w:p>
            <w:pPr>
              <w:spacing w:after="40" w:before="40"/>
            </w:pPr>
            <w:r>
              <w:rPr>
                <w:rFonts w:ascii="Garamond" w:cs="Garamond" w:eastAsia="Garamond" w:hAnsi="Garamond"/>
                <w:b w:val="false"/>
                <w:bCs w:val="false"/>
                <w:i w:val="false"/>
                <w:iCs w:val="false"/>
                <w:color w:val="888888"/>
                <w:sz w:val="19"/>
                <w:szCs w:val="19"/>
              </w:rPr>
              <w:t xml:space="preserve">— </w:t>
            </w:r>
            <w:r>
              <w:rPr>
                <w:rFonts w:ascii="Garamond" w:cs="Garamond" w:eastAsia="Garamond" w:hAnsi="Garamond"/>
                <w:b w:val="false"/>
                <w:bCs w:val="false"/>
                <w:i w:val="false"/>
                <w:iCs w:val="false"/>
                <w:color w:val="555555"/>
                <w:sz w:val="19"/>
                <w:szCs w:val="19"/>
              </w:rPr>
              <w:t xml:space="preserve">Enterprise Systems Implementation (Salesforce, MS Dynamics 365, SAP)</w:t>
            </w:r>
          </w:p>
        </w:tc>
      </w:tr>
      <w:tr>
        <w:tc>
          <w:tcPr>
            <w:tcW w:type="pct" w:w="50%"/>
            <w:tcBorders>
              <w:top w:val="none"/>
              <w:left w:val="none"/>
              <w:bottom w:val="none"/>
              <w:right w:val="none"/>
            </w:tcBorders>
          </w:tcPr>
          <w:p>
            <w:pPr>
              <w:spacing w:after="40" w:before="40"/>
            </w:pPr>
            <w:r>
              <w:rPr>
                <w:rFonts w:ascii="Garamond" w:cs="Garamond" w:eastAsia="Garamond" w:hAnsi="Garamond"/>
                <w:b w:val="false"/>
                <w:bCs w:val="false"/>
                <w:i w:val="false"/>
                <w:iCs w:val="false"/>
                <w:color w:val="888888"/>
                <w:sz w:val="19"/>
                <w:szCs w:val="19"/>
              </w:rPr>
              <w:t xml:space="preserve">— </w:t>
            </w:r>
            <w:r>
              <w:rPr>
                <w:rFonts w:ascii="Garamond" w:cs="Garamond" w:eastAsia="Garamond" w:hAnsi="Garamond"/>
                <w:b w:val="false"/>
                <w:bCs w:val="false"/>
                <w:i w:val="false"/>
                <w:iCs w:val="false"/>
                <w:color w:val="555555"/>
                <w:sz w:val="19"/>
                <w:szCs w:val="19"/>
              </w:rPr>
              <w:t xml:space="preserve">Cloud Migration &amp; Technical Program Management</w:t>
            </w:r>
          </w:p>
        </w:tc>
        <w:tc>
          <w:tcPr>
            <w:tcW w:type="pct" w:w="50%"/>
            <w:tcBorders>
              <w:top w:val="none"/>
              <w:left w:val="none"/>
              <w:bottom w:val="none"/>
              <w:right w:val="none"/>
            </w:tcBorders>
          </w:tcPr>
          <w:p>
            <w:pPr>
              <w:spacing w:after="40" w:before="40"/>
            </w:pPr>
            <w:r>
              <w:rPr>
                <w:rFonts w:ascii="Garamond" w:cs="Garamond" w:eastAsia="Garamond" w:hAnsi="Garamond"/>
                <w:b w:val="false"/>
                <w:bCs w:val="false"/>
                <w:i w:val="false"/>
                <w:iCs w:val="false"/>
                <w:color w:val="888888"/>
                <w:sz w:val="19"/>
                <w:szCs w:val="19"/>
              </w:rPr>
              <w:t xml:space="preserve">— </w:t>
            </w:r>
            <w:r>
              <w:rPr>
                <w:rFonts w:ascii="Garamond" w:cs="Garamond" w:eastAsia="Garamond" w:hAnsi="Garamond"/>
                <w:b w:val="false"/>
                <w:bCs w:val="false"/>
                <w:i w:val="false"/>
                <w:iCs w:val="false"/>
                <w:color w:val="555555"/>
                <w:sz w:val="19"/>
                <w:szCs w:val="19"/>
              </w:rPr>
              <w:t xml:space="preserve">Data Analysis &amp; Reporting (Power BI, Tableau)</w:t>
            </w:r>
          </w:p>
        </w:tc>
      </w:tr>
      <w:tr>
        <w:tc>
          <w:tcPr>
            <w:tcW w:type="pct" w:w="50%"/>
            <w:tcBorders>
              <w:top w:val="none"/>
              <w:left w:val="none"/>
              <w:bottom w:val="none"/>
              <w:right w:val="none"/>
            </w:tcBorders>
          </w:tcPr>
          <w:p>
            <w:pPr>
              <w:spacing w:after="40" w:before="40"/>
            </w:pPr>
            <w:r>
              <w:rPr>
                <w:rFonts w:ascii="Garamond" w:cs="Garamond" w:eastAsia="Garamond" w:hAnsi="Garamond"/>
                <w:b w:val="false"/>
                <w:bCs w:val="false"/>
                <w:i w:val="false"/>
                <w:iCs w:val="false"/>
                <w:color w:val="888888"/>
                <w:sz w:val="19"/>
                <w:szCs w:val="19"/>
              </w:rPr>
              <w:t xml:space="preserve">— </w:t>
            </w:r>
            <w:r>
              <w:rPr>
                <w:rFonts w:ascii="Garamond" w:cs="Garamond" w:eastAsia="Garamond" w:hAnsi="Garamond"/>
                <w:b w:val="false"/>
                <w:bCs w:val="false"/>
                <w:i w:val="false"/>
                <w:iCs w:val="false"/>
                <w:color w:val="555555"/>
                <w:sz w:val="19"/>
                <w:szCs w:val="19"/>
              </w:rPr>
              <w:t xml:space="preserve">SOPs, Trackers &amp; Process Documentation</w:t>
            </w:r>
          </w:p>
        </w:tc>
        <w:tc>
          <w:tcPr>
            <w:tcW w:type="pct" w:w="50%"/>
            <w:tcBorders>
              <w:top w:val="none"/>
              <w:left w:val="none"/>
              <w:bottom w:val="none"/>
              <w:right w:val="none"/>
            </w:tcBorders>
          </w:tcPr>
          <w:p>
            <w:pPr>
              <w:spacing w:after="40" w:before="40"/>
            </w:pPr>
            <w:r>
              <w:rPr>
                <w:rFonts w:ascii="Garamond" w:cs="Garamond" w:eastAsia="Garamond" w:hAnsi="Garamond"/>
                <w:b w:val="false"/>
                <w:bCs w:val="false"/>
                <w:i w:val="false"/>
                <w:iCs w:val="false"/>
                <w:color w:val="888888"/>
                <w:sz w:val="19"/>
                <w:szCs w:val="19"/>
              </w:rPr>
              <w:t xml:space="preserve">— </w:t>
            </w:r>
            <w:r>
              <w:rPr>
                <w:rFonts w:ascii="Garamond" w:cs="Garamond" w:eastAsia="Garamond" w:hAnsi="Garamond"/>
                <w:b w:val="false"/>
                <w:bCs w:val="false"/>
                <w:i w:val="false"/>
                <w:iCs w:val="false"/>
                <w:color w:val="555555"/>
                <w:sz w:val="19"/>
                <w:szCs w:val="19"/>
              </w:rPr>
              <w:t xml:space="preserve">Registration, Enrollment &amp; Student Inquiry Triage</w:t>
            </w:r>
          </w:p>
        </w:tc>
      </w:tr>
      <w:tr>
        <w:tc>
          <w:tcPr>
            <w:tcW w:type="pct" w:w="50%"/>
            <w:tcBorders>
              <w:top w:val="none"/>
              <w:left w:val="none"/>
              <w:bottom w:val="none"/>
              <w:right w:val="none"/>
            </w:tcBorders>
          </w:tcPr>
          <w:p>
            <w:pPr>
              <w:spacing w:after="40" w:before="40"/>
            </w:pPr>
            <w:r>
              <w:rPr>
                <w:rFonts w:ascii="Garamond" w:cs="Garamond" w:eastAsia="Garamond" w:hAnsi="Garamond"/>
                <w:b w:val="false"/>
                <w:bCs w:val="false"/>
                <w:i w:val="false"/>
                <w:iCs w:val="false"/>
                <w:color w:val="888888"/>
                <w:sz w:val="19"/>
                <w:szCs w:val="19"/>
              </w:rPr>
              <w:t xml:space="preserve">— </w:t>
            </w:r>
            <w:r>
              <w:rPr>
                <w:rFonts w:ascii="Garamond" w:cs="Garamond" w:eastAsia="Garamond" w:hAnsi="Garamond"/>
                <w:b w:val="false"/>
                <w:bCs w:val="false"/>
                <w:i w:val="false"/>
                <w:iCs w:val="false"/>
                <w:color w:val="555555"/>
                <w:sz w:val="19"/>
                <w:szCs w:val="19"/>
              </w:rPr>
              <w:t xml:space="preserve">Stakeholder, Faculty &amp; Executive Communication</w:t>
            </w:r>
          </w:p>
        </w:tc>
        <w:tc>
          <w:tcPr>
            <w:tcW w:type="pct" w:w="50%"/>
            <w:tcBorders>
              <w:top w:val="none"/>
              <w:left w:val="none"/>
              <w:bottom w:val="none"/>
              <w:right w:val="none"/>
            </w:tcBorders>
          </w:tcPr>
          <w:p>
            <w:pPr>
              <w:spacing w:after="40" w:before="40"/>
            </w:pPr>
            <w:r>
              <w:rPr>
                <w:rFonts w:ascii="Garamond" w:cs="Garamond" w:eastAsia="Garamond" w:hAnsi="Garamond"/>
                <w:b w:val="false"/>
                <w:bCs w:val="false"/>
                <w:i w:val="false"/>
                <w:iCs w:val="false"/>
                <w:color w:val="888888"/>
                <w:sz w:val="19"/>
                <w:szCs w:val="19"/>
              </w:rPr>
              <w:t xml:space="preserve">— </w:t>
            </w:r>
            <w:r>
              <w:rPr>
                <w:rFonts w:ascii="Garamond" w:cs="Garamond" w:eastAsia="Garamond" w:hAnsi="Garamond"/>
                <w:b w:val="false"/>
                <w:bCs w:val="false"/>
                <w:i w:val="false"/>
                <w:iCs w:val="false"/>
                <w:color w:val="555555"/>
                <w:sz w:val="19"/>
                <w:szCs w:val="19"/>
              </w:rPr>
              <w:t xml:space="preserve">Microsoft 365, SharePoint, Excel, Teams</w:t>
            </w:r>
          </w:p>
        </w:tc>
      </w:tr>
    </w:tbl>
    <w:p>
      <w:pPr>
        <w:pBdr>
          <w:bottom w:val="single" w:color="2C2C2C" w:sz="8"/>
        </w:pBdr>
        <w:spacing w:after="60" w:before="280"/>
      </w:pPr>
      <w:r>
        <w:rPr>
          <w:rFonts w:ascii="Calibri" w:cs="Calibri" w:eastAsia="Calibri" w:hAnsi="Calibri"/>
          <w:b/>
          <w:bCs/>
          <w:i w:val="false"/>
          <w:iCs w:val="false"/>
          <w:color w:val="1A1A1A"/>
          <w:spacing w:val="80"/>
          <w:sz w:val="18"/>
          <w:szCs w:val="18"/>
        </w:rPr>
        <w:t xml:space="preserve">CERTIFICATIONS &amp; AFFILIATIONS</w:t>
      </w:r>
    </w:p>
    <w:p>
      <w:pPr>
        <w:spacing w:after="30" w:before="30"/>
      </w:pPr>
      <w:r>
        <w:rPr>
          <w:rFonts w:ascii="Garamond" w:cs="Garamond" w:eastAsia="Garamond" w:hAnsi="Garamond"/>
          <w:b w:val="false"/>
          <w:bCs w:val="false"/>
          <w:i w:val="false"/>
          <w:iCs w:val="false"/>
          <w:color w:val="888888"/>
          <w:sz w:val="19"/>
          <w:szCs w:val="19"/>
        </w:rPr>
        <w:t xml:space="preserve">— </w:t>
      </w:r>
      <w:r>
        <w:rPr>
          <w:rFonts w:ascii="Garamond" w:cs="Garamond" w:eastAsia="Garamond" w:hAnsi="Garamond"/>
          <w:b w:val="false"/>
          <w:bCs w:val="false"/>
          <w:i w:val="false"/>
          <w:iCs w:val="false"/>
          <w:color w:val="555555"/>
          <w:sz w:val="19"/>
          <w:szCs w:val="19"/>
        </w:rPr>
        <w:t xml:space="preserve">Project Management Institute (PMI) — NJ Chapter Member &amp; Volunteer, 2024–Present</w:t>
      </w:r>
    </w:p>
    <w:p>
      <w:pPr>
        <w:spacing w:after="30" w:before="30"/>
      </w:pPr>
      <w:r>
        <w:rPr>
          <w:rFonts w:ascii="Garamond" w:cs="Garamond" w:eastAsia="Garamond" w:hAnsi="Garamond"/>
          <w:b w:val="false"/>
          <w:bCs w:val="false"/>
          <w:i w:val="false"/>
          <w:iCs w:val="false"/>
          <w:color w:val="888888"/>
          <w:sz w:val="19"/>
          <w:szCs w:val="19"/>
        </w:rPr>
        <w:t xml:space="preserve">— </w:t>
      </w:r>
      <w:r>
        <w:rPr>
          <w:rFonts w:ascii="Garamond" w:cs="Garamond" w:eastAsia="Garamond" w:hAnsi="Garamond"/>
          <w:b w:val="false"/>
          <w:bCs w:val="false"/>
          <w:i w:val="false"/>
          <w:iCs w:val="false"/>
          <w:color w:val="555555"/>
          <w:sz w:val="19"/>
          <w:szCs w:val="19"/>
        </w:rPr>
        <w:t xml:space="preserve">Software Engineering Bootcamp — General Assembly, 2025</w:t>
      </w:r>
    </w:p>
    <w:p>
      <w:pPr>
        <w:spacing w:after="30" w:before="30"/>
      </w:pPr>
      <w:r>
        <w:rPr>
          <w:rFonts w:ascii="Garamond" w:cs="Garamond" w:eastAsia="Garamond" w:hAnsi="Garamond"/>
          <w:b w:val="false"/>
          <w:bCs w:val="false"/>
          <w:i w:val="false"/>
          <w:iCs w:val="false"/>
          <w:color w:val="888888"/>
          <w:sz w:val="19"/>
          <w:szCs w:val="19"/>
        </w:rPr>
        <w:t xml:space="preserve">— </w:t>
      </w:r>
      <w:r>
        <w:rPr>
          <w:rFonts w:ascii="Garamond" w:cs="Garamond" w:eastAsia="Garamond" w:hAnsi="Garamond"/>
          <w:b w:val="false"/>
          <w:bCs w:val="false"/>
          <w:i w:val="false"/>
          <w:iCs w:val="false"/>
          <w:color w:val="555555"/>
          <w:sz w:val="19"/>
          <w:szCs w:val="19"/>
        </w:rPr>
        <w:t xml:space="preserve">Goode Education Group — Clean Energy Program Fellow, 2024</w:t>
      </w:r>
    </w:p>
    <w:p>
      <w:pPr>
        <w:spacing w:after="30" w:before="30"/>
      </w:pPr>
      <w:r>
        <w:rPr>
          <w:rFonts w:ascii="Garamond" w:cs="Garamond" w:eastAsia="Garamond" w:hAnsi="Garamond"/>
          <w:b w:val="false"/>
          <w:bCs w:val="false"/>
          <w:i w:val="false"/>
          <w:iCs w:val="false"/>
          <w:color w:val="888888"/>
          <w:sz w:val="19"/>
          <w:szCs w:val="19"/>
        </w:rPr>
        <w:t xml:space="preserve">— </w:t>
      </w:r>
      <w:r>
        <w:rPr>
          <w:rFonts w:ascii="Garamond" w:cs="Garamond" w:eastAsia="Garamond" w:hAnsi="Garamond"/>
          <w:b w:val="false"/>
          <w:bCs w:val="false"/>
          <w:i w:val="false"/>
          <w:iCs w:val="false"/>
          <w:color w:val="555555"/>
          <w:sz w:val="19"/>
          <w:szCs w:val="19"/>
        </w:rPr>
        <w:t xml:space="preserve">Building Science Principles — Building Performance Institute</w:t>
      </w:r>
    </w:p>
    <w:p>
      <w:pPr>
        <w:pBdr>
          <w:bottom w:val="single" w:color="2C2C2C" w:sz="8"/>
        </w:pBdr>
        <w:spacing w:after="60" w:before="280"/>
      </w:pPr>
      <w:r>
        <w:rPr>
          <w:rFonts w:ascii="Calibri" w:cs="Calibri" w:eastAsia="Calibri" w:hAnsi="Calibri"/>
          <w:b/>
          <w:bCs/>
          <w:i w:val="false"/>
          <w:iCs w:val="false"/>
          <w:color w:val="1A1A1A"/>
          <w:spacing w:val="80"/>
          <w:sz w:val="18"/>
          <w:szCs w:val="18"/>
        </w:rPr>
        <w:t xml:space="preserve">ADDITIONAL</w:t>
      </w:r>
    </w:p>
    <w:p>
      <w:pPr>
        <w:spacing w:after="20" w:before="100"/>
      </w:pPr>
      <w:r>
        <w:rPr>
          <w:rFonts w:ascii="Garamond" w:cs="Garamond" w:eastAsia="Garamond" w:hAnsi="Garamond"/>
          <w:b w:val="false"/>
          <w:bCs w:val="false"/>
          <w:i w:val="false"/>
          <w:iCs w:val="false"/>
          <w:color w:val="555555"/>
          <w:sz w:val="19"/>
          <w:szCs w:val="19"/>
        </w:rPr>
        <w:t xml:space="preserve">Martial Arts — Jeet Kune Do (Fist of Interception Institute), Level 3 student under Vincent Benitez</w:t>
      </w:r>
    </w:p>
    <w:sectPr>
      <w:pgSz w:h="16838" w:w="11906"/>
      <w:pgMar w:bottom="720" w:footer="720" w:gutter="0" w:header="720" w:left="900" w:right="900" w:top="720"/>
      <w:cols w:space="72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aramond" w:cs="Garamond" w:eastAsia="Garamond" w:hAnsi="Garamond"/>
        <w:color w:val="555555"/>
        <w:sz w:val="20"/>
        <w:szCs w:val="20"/>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2026-08-14T04:44:38.700Z</dcterms:created>
  <dcterms:modified xsi:type="dcterms:W3CDTF">2026-08-14T04:44:38.701Z</dcterms:modified>
</cp:coreProperties>
</file>

<file path=docProps/custom.xml><?xml version="1.0" encoding="utf-8"?>
<Properties xmlns="http://schemas.openxmlformats.org/officeDocument/2006/custom-properties" xmlns:vt="http://schemas.openxmlformats.org/officeDocument/2006/docPropsVTypes"/>
</file>