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Adjunct Instructor, Advertising &amp; Design Search</w:t>
      </w:r>
    </w:p>
    <w:p>
      <w:pPr>
        <w:spacing w:after="60" w:before="0"/>
        <w:jc w:val="left"/>
      </w:pPr>
      <w:r>
        <w:rPr>
          <w:rFonts w:ascii="Garamond" w:cs="Garamond" w:eastAsia="Garamond" w:hAnsi="Garamond"/>
          <w:b w:val="false"/>
          <w:bCs w:val="false"/>
          <w:i w:val="false"/>
          <w:iCs w:val="false"/>
          <w:color w:val="555555"/>
          <w:sz w:val="20"/>
          <w:szCs w:val="20"/>
        </w:rPr>
        <w:t xml:space="preserve">College of Human Development, Culture, and Media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Adjunct Instructor, Advertising &amp; Design (Job No. 495459)</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am writing to apply for the Adjunct Instructor position in Advertising &amp; Design within the College of Human Development, Culture, and Media. This fall I begin the Ph.D. in Higher Education Leadership, Management and Policy at Seton Hall, so this application is less an approach from outside than an offer to contribute inside an institution I am already joining. I would be teaching on the same campus where I am studying, which tends to make an adjunct more available to students rather than less.</w:t>
      </w:r>
    </w:p>
    <w:p>
      <w:pPr>
        <w:spacing w:after="200" w:before="0"/>
        <w:jc w:val="left"/>
      </w:pPr>
      <w:r>
        <w:rPr>
          <w:rFonts w:ascii="Garamond" w:cs="Garamond" w:eastAsia="Garamond" w:hAnsi="Garamond"/>
          <w:b w:val="false"/>
          <w:bCs w:val="false"/>
          <w:i w:val="false"/>
          <w:iCs w:val="false"/>
          <w:color w:val="444444"/>
          <w:sz w:val="21"/>
          <w:szCs w:val="21"/>
        </w:rPr>
        <w:t xml:space="preserve">The posting asks for the ability to teach in advertising, graphic design, UX/UI, or digital photography. My preparation is strongest in the advertising and UX/UI end of that range. My undergraduate degree is a B.S. in Business Administration with a Marketing concentration from Drexel University, and I spent a year inside the Interpublic Group of Companies, one of the large advertising holding groups, coordinating enterprise system implementations across multiple subsidiary agencies for 600 users. That work put me next to how agency teams actually brief, revise, and ship creative on a deadline. On the interface side, I have spent three years at Mangu Publishers as Senior PM and Technical Lead, running the full lifecycle of a resource-matching platform — intake sessions with 50+ stakeholders, twelve enhancements across six design and release cycles — and I completed the General Assembly Software Engineering Bootcamp in 2025, which gave me hands-on grounding in how designs are built rather than only how they are drawn. Those are the studio habits I would bring to a class: brief, critique, revision, ship.</w:t>
      </w:r>
    </w:p>
    <w:p>
      <w:pPr>
        <w:spacing w:after="200" w:before="0"/>
        <w:jc w:val="left"/>
      </w:pPr>
      <w:r>
        <w:rPr>
          <w:rFonts w:ascii="Garamond" w:cs="Garamond" w:eastAsia="Garamond" w:hAnsi="Garamond"/>
          <w:b w:val="false"/>
          <w:bCs w:val="false"/>
          <w:i w:val="false"/>
          <w:iCs w:val="false"/>
          <w:color w:val="444444"/>
          <w:sz w:val="21"/>
          <w:szCs w:val="21"/>
        </w:rPr>
        <w:t xml:space="preserve">I have also worked the instructional side of a course, not only the industry side. As a Graduate Assistant at Eastern University I managed the full course lifecycle for two high-enrollment courses of 200+ students per semester — Canvas and Brightspace administration, section setup, textbook procurement, assessment design, grading workflows, and first-contact triage of student questions with escalation to faculty and referral to advising. I know what a well-built course shell looks like from the inside, and I know how quickly a two-and-a-half-hour weekly studio session falls apart without a clear plan for the room.</w:t>
      </w:r>
    </w:p>
    <w:p>
      <w:pPr>
        <w:spacing w:after="200" w:before="0"/>
        <w:jc w:val="left"/>
      </w:pPr>
      <w:r>
        <w:rPr>
          <w:rFonts w:ascii="Garamond" w:cs="Garamond" w:eastAsia="Garamond" w:hAnsi="Garamond"/>
          <w:b w:val="false"/>
          <w:bCs w:val="false"/>
          <w:i w:val="false"/>
          <w:iCs w:val="false"/>
          <w:color w:val="444444"/>
          <w:sz w:val="21"/>
          <w:szCs w:val="21"/>
        </w:rPr>
        <w:t xml:space="preserve">I should be direct about the gap. I do not hold an earned graduate degree in visual art or design; my graduate work is an MBA in Organizational Management, and my two years of college-level experience are as a graduate assistant supporting instruction rather than as instructor of record. If the committee needs a credentialed studio artist, I am not that candidate. If there is a section — advertising principles, UX/UI fundamentals, digital production workflow — where an industry practitioner who has shipped real interfaces and worked inside an agency network would serve students well, I would welcome the conversation, and I am glad to teach a sample session before any commitment is made.</w:t>
      </w:r>
    </w:p>
    <w:p>
      <w:pPr>
        <w:spacing w:after="200" w:before="0"/>
        <w:jc w:val="left"/>
      </w:pPr>
      <w:r>
        <w:rPr>
          <w:rFonts w:ascii="Garamond" w:cs="Garamond" w:eastAsia="Garamond" w:hAnsi="Garamond"/>
          <w:b w:val="false"/>
          <w:bCs w:val="false"/>
          <w:i w:val="false"/>
          <w:iCs w:val="false"/>
          <w:color w:val="444444"/>
          <w:sz w:val="21"/>
          <w:szCs w:val="21"/>
        </w:rPr>
        <w:t xml:space="preserve">I would bring to the department a practitioner's account of how advertising and design work gets made, and the administrative discipline to run a section cleanly — syllabus, rubric, grade records, and clear communication. Thank you for considering my application.</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