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val="false"/>
          <w:bCs w:val="false"/>
          <w:i w:val="false"/>
          <w:iCs w:val="false"/>
          <w:color w:val="1A1A1A"/>
          <w:spacing w:val="120"/>
          <w:sz w:val="52"/>
          <w:szCs w:val="52"/>
        </w:rPr>
        <w:t xml:space="preserve">MAX MIHIR OZA</w:t>
      </w:r>
    </w:p>
    <w:p>
      <w:pPr>
        <w:spacing w:after="60" w:before="0"/>
        <w:jc w:val="center"/>
      </w:pPr>
      <w:r>
        <w:rPr>
          <w:rFonts w:ascii="Garamond" w:cs="Garamond" w:eastAsia="Garamond" w:hAnsi="Garamond"/>
          <w:b w:val="false"/>
          <w:bCs w:val="false"/>
          <w:i/>
          <w:iCs/>
          <w:color w:val="888888"/>
          <w:sz w:val="20"/>
          <w:szCs w:val="20"/>
        </w:rPr>
        <w:t xml:space="preserve">Advertising, Marketing &amp; Digital Product Practice  ·  Scholar-Practitioner in Higher Education</w:t>
      </w:r>
    </w:p>
    <w:p>
      <w:pPr>
        <w:spacing w:after="100" w:before="0"/>
        <w:jc w:val="center"/>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80" w:before="80"/>
      </w:pP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PROFILE</w:t>
      </w:r>
    </w:p>
    <w:p>
      <w:pPr>
        <w:spacing w:after="60" w:before="100"/>
      </w:pPr>
      <w:r>
        <w:rPr>
          <w:rFonts w:ascii="Garamond" w:cs="Garamond" w:eastAsia="Garamond" w:hAnsi="Garamond"/>
          <w:b w:val="false"/>
          <w:bCs w:val="false"/>
          <w:i w:val="false"/>
          <w:iCs w:val="false"/>
          <w:color w:val="555555"/>
          <w:sz w:val="20"/>
          <w:szCs w:val="20"/>
        </w:rPr>
        <w:t xml:space="preserve">Marketing graduate and digital product practitioner with 13+ years across advertising, publishing, and enterprise technology — including a year inside the Interpublic Group of Companies, where enterprise platforms were delivered for 600 users across multiple subsidiary agencies, and three years leading platform design and delivery at Mangu Publishers. Bachelor of Science in Business Administration, Marketing from Drexel University; completing an MBA in Organizational Management with a 3.87 GPA and a concentration in Artificial Intelligence; completed the General Assembly Software Engineering Bootcamp in 2025.</w:t>
      </w:r>
    </w:p>
    <w:p>
      <w:pPr>
        <w:spacing w:after="60" w:before="100"/>
      </w:pPr>
      <w:r>
        <w:rPr>
          <w:rFonts w:ascii="Garamond" w:cs="Garamond" w:eastAsia="Garamond" w:hAnsi="Garamond"/>
          <w:b w:val="false"/>
          <w:bCs w:val="false"/>
          <w:i w:val="false"/>
          <w:iCs w:val="false"/>
          <w:color w:val="555555"/>
          <w:sz w:val="20"/>
          <w:szCs w:val="20"/>
        </w:rPr>
        <w:t xml:space="preserve">Classroom-adjacent experience supporting the full course lifecycle for two high-enrollment courses of 200+ students per semester — LMS administration in Canvas and Brightspace, assessment design, grading workflows, and student inquiry triage — with a documented habit of turning informal practice into syllabi-grade written process that survives staff turnover. Begins the Ph.D. in Higher Education Leadership, Management and Policy at Seton Hall in Fall 2026.</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EDUCATION</w:t>
      </w:r>
    </w:p>
    <w:p>
      <w:pPr>
        <w:tabs>
          <w:tab w:val="right" w:pos="10100"/>
        </w:tabs>
        <w:spacing w:after="20" w:before="160"/>
      </w:pPr>
      <w:r>
        <w:rPr>
          <w:rFonts w:ascii="Garamond" w:cs="Garamond" w:eastAsia="Garamond" w:hAnsi="Garamond"/>
          <w:b/>
          <w:bCs/>
          <w:i w:val="false"/>
          <w:iCs w:val="false"/>
          <w:color w:val="1A1A1A"/>
          <w:sz w:val="22"/>
          <w:szCs w:val="22"/>
        </w:rPr>
        <w:t xml:space="preserve">Ph.D. in Higher Education Leadership, Management and Policy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Enrolled Fall 2026</w:t>
      </w:r>
    </w:p>
    <w:p>
      <w:pPr>
        <w:spacing w:after="20" w:before="0"/>
      </w:pPr>
      <w:r>
        <w:rPr>
          <w:rFonts w:ascii="Garamond" w:cs="Garamond" w:eastAsia="Garamond" w:hAnsi="Garamond"/>
          <w:b w:val="false"/>
          <w:bCs w:val="false"/>
          <w:i/>
          <w:iCs/>
          <w:color w:val="555555"/>
          <w:sz w:val="20"/>
          <w:szCs w:val="20"/>
        </w:rPr>
        <w:t xml:space="preserve">Seton Hall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South Orange, NJ</w:t>
      </w:r>
    </w:p>
    <w:p>
      <w:pPr>
        <w:tabs>
          <w:tab w:val="right" w:pos="10100"/>
        </w:tabs>
        <w:spacing w:after="20" w:before="160"/>
      </w:pPr>
      <w:r>
        <w:rPr>
          <w:rFonts w:ascii="Garamond" w:cs="Garamond" w:eastAsia="Garamond" w:hAnsi="Garamond"/>
          <w:b/>
          <w:bCs/>
          <w:i w:val="false"/>
          <w:iCs w:val="false"/>
          <w:color w:val="1A1A1A"/>
          <w:sz w:val="22"/>
          <w:szCs w:val="22"/>
        </w:rPr>
        <w:t xml:space="preserve">Master of Business Administration, Organizational Management</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Expected Fall 2026</w:t>
      </w:r>
    </w:p>
    <w:p>
      <w:pPr>
        <w:spacing w:after="20" w:before="0"/>
      </w:pP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p>
    <w:p>
      <w:pPr>
        <w:spacing w:after="20" w:before="0"/>
      </w:pPr>
      <w:r>
        <w:rPr>
          <w:rFonts w:ascii="Garamond" w:cs="Garamond" w:eastAsia="Garamond" w:hAnsi="Garamond"/>
          <w:b w:val="false"/>
          <w:bCs w:val="false"/>
          <w:i w:val="false"/>
          <w:iCs w:val="false"/>
          <w:color w:val="888888"/>
          <w:sz w:val="19"/>
          <w:szCs w:val="19"/>
        </w:rPr>
        <w:t xml:space="preserve">GPA: 3.87 / 4.0   ·   Concentrations: Human Resources · Artificial Intelligence · Sustainable Development</w:t>
      </w:r>
    </w:p>
    <w:p>
      <w:pPr>
        <w:spacing w:after="20" w:before="0"/>
      </w:pPr>
      <w:r>
        <w:rPr>
          <w:rFonts w:ascii="Garamond" w:cs="Garamond" w:eastAsia="Garamond" w:hAnsi="Garamond"/>
          <w:b w:val="false"/>
          <w:bCs w:val="false"/>
          <w:i w:val="false"/>
          <w:iCs w:val="false"/>
          <w:color w:val="888888"/>
          <w:sz w:val="19"/>
          <w:szCs w:val="19"/>
        </w:rPr>
        <w:t xml:space="preserve">Relevant coursework: Organizational Change &amp; Development · Data Analytics for Decision-Making · Technology Strategy · Research Methods</w:t>
      </w:r>
    </w:p>
    <w:p>
      <w:pPr>
        <w:tabs>
          <w:tab w:val="right" w:pos="10100"/>
        </w:tabs>
        <w:spacing w:after="20" w:before="160"/>
      </w:pPr>
      <w:r>
        <w:rPr>
          <w:rFonts w:ascii="Garamond" w:cs="Garamond" w:eastAsia="Garamond" w:hAnsi="Garamond"/>
          <w:b/>
          <w:bCs/>
          <w:i w:val="false"/>
          <w:iCs w:val="false"/>
          <w:color w:val="1A1A1A"/>
          <w:sz w:val="22"/>
          <w:szCs w:val="22"/>
        </w:rPr>
        <w:t xml:space="preserve">Bachelor of Science in Business Administration, Marketing</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2010</w:t>
      </w:r>
    </w:p>
    <w:p>
      <w:pPr>
        <w:spacing w:after="20" w:before="0"/>
      </w:pPr>
      <w:r>
        <w:rPr>
          <w:rFonts w:ascii="Garamond" w:cs="Garamond" w:eastAsia="Garamond" w:hAnsi="Garamond"/>
          <w:b w:val="false"/>
          <w:bCs w:val="false"/>
          <w:i/>
          <w:iCs/>
          <w:color w:val="555555"/>
          <w:sz w:val="20"/>
          <w:szCs w:val="20"/>
        </w:rPr>
        <w:t xml:space="preserve">Drexel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Philadelphia, PA</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HIGHER EDUCATION EXPERIENCE</w:t>
      </w:r>
    </w:p>
    <w:p>
      <w:pPr>
        <w:tabs>
          <w:tab w:val="right" w:pos="10100"/>
        </w:tabs>
        <w:spacing w:after="40" w:before="160"/>
      </w:pPr>
      <w:r>
        <w:rPr>
          <w:rFonts w:ascii="Garamond" w:cs="Garamond" w:eastAsia="Garamond" w:hAnsi="Garamond"/>
          <w:b/>
          <w:bCs/>
          <w:i w:val="false"/>
          <w:iCs w:val="false"/>
          <w:color w:val="1A1A1A"/>
          <w:sz w:val="22"/>
          <w:szCs w:val="22"/>
        </w:rPr>
        <w:t xml:space="preserve">Graduate Assistant — Academic &amp; Course Support</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May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Managed full course lifecycle across two high-enrollment courses (200+ students per semester) — LMS administration (Canvas / Brightspace), section setup, enrollment monitoring, textbook procurement, and academic records maintenance.</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Served as first point of contact for student inquiries; triaged routine questions, escalated complex cases to faculty, and coordinated referrals to advising offices, tracking each item through resolution.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Supported assessment design, grading workflows, grade-change documentation, and academic progress monitoring in close collaboration with course faculty.</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Handled student records and performance data with strict confidentiality; surfaced at-risk students through trend analysis and produced formal reports informing targeted instructional interventions.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OPERATIONS &amp; ADMINISTRATIVE EXPERIENCE</w:t>
      </w:r>
    </w:p>
    <w:p>
      <w:pPr>
        <w:tabs>
          <w:tab w:val="right" w:pos="10100"/>
        </w:tabs>
        <w:spacing w:after="40" w:before="160"/>
      </w:pPr>
      <w:r>
        <w:rPr>
          <w:rFonts w:ascii="Garamond" w:cs="Garamond" w:eastAsia="Garamond" w:hAnsi="Garamond"/>
          <w:b/>
          <w:bCs/>
          <w:i w:val="false"/>
          <w:iCs w:val="false"/>
          <w:color w:val="1A1A1A"/>
          <w:sz w:val="22"/>
          <w:szCs w:val="22"/>
        </w:rPr>
        <w:t xml:space="preserve">Senior PM &amp; Technical Lead</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Mangu Publishers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Jan 2023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Led full lifecycle implementation of a resource-matching platform; conducted intake sessions with 50+ stakeholders and delivered 12 enhancements across six cycles.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Built standardized knowledge management and records infrastructure — retiring 30+ outdated materials and improving information retrieval efficiency by 50%.</w:t>
      </w:r>
    </w:p>
    <w:p>
      <w:pPr>
        <w:tabs>
          <w:tab w:val="right" w:pos="10100"/>
        </w:tabs>
        <w:spacing w:after="40" w:before="160"/>
      </w:pPr>
      <w:r>
        <w:rPr>
          <w:rFonts w:ascii="Garamond" w:cs="Garamond" w:eastAsia="Garamond" w:hAnsi="Garamond"/>
          <w:b/>
          <w:bCs/>
          <w:i w:val="false"/>
          <w:iCs w:val="false"/>
          <w:color w:val="1A1A1A"/>
          <w:sz w:val="22"/>
          <w:szCs w:val="22"/>
        </w:rPr>
        <w:t xml:space="preserve">Technical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Interpublic Group of Companies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Jersey City,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2023</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Coordinated enterprise system implementations (Salesforce, Microsoft Dynamics 365, Maximo, Active Directory) for 600 users across multiple subsidiary agencies.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platform migration projects 75% ahead of schedule; facilitated monthly executive briefings and maintained status trackers for senior leadership.</w:t>
      </w:r>
    </w:p>
    <w:p>
      <w:pPr>
        <w:tabs>
          <w:tab w:val="right" w:pos="10100"/>
        </w:tabs>
        <w:spacing w:after="40" w:before="160"/>
      </w:pPr>
      <w:r>
        <w:rPr>
          <w:rFonts w:ascii="Garamond" w:cs="Garamond" w:eastAsia="Garamond" w:hAnsi="Garamond"/>
          <w:b/>
          <w:bCs/>
          <w:i w:val="false"/>
          <w:iCs w:val="false"/>
          <w:color w:val="1A1A1A"/>
          <w:sz w:val="22"/>
          <w:szCs w:val="22"/>
        </w:rPr>
        <w:t xml:space="preserve">Program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HCL Americas (Becton Dickinson &amp; Bristol Myers Squibb)</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Franklin Lakes,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Apr 2021 – Aug 2022</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Designed submission and approval automation across 49 business lines, eliminating manual intake processes and generating $10M in documented annual savings.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Directed three cloud migration projects and a 10,000-user client migration; established centralized KPI reporting dashboards for executive decision-making.</w:t>
      </w:r>
    </w:p>
    <w:p>
      <w:pPr>
        <w:tabs>
          <w:tab w:val="right" w:pos="10100"/>
        </w:tabs>
        <w:spacing w:after="40" w:before="160"/>
      </w:pPr>
      <w:r>
        <w:rPr>
          <w:rFonts w:ascii="Garamond" w:cs="Garamond" w:eastAsia="Garamond" w:hAnsi="Garamond"/>
          <w:b/>
          <w:bCs/>
          <w:i w:val="false"/>
          <w:iCs w:val="false"/>
          <w:color w:val="1A1A1A"/>
          <w:sz w:val="22"/>
          <w:szCs w:val="22"/>
        </w:rPr>
        <w:t xml:space="preserve">Senior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Millennium Systems International</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Nov 2019 – Dec 2020</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Chaired a $50M annual budget committee — reviewing spend, vendor commitments, and funding priorities; achieved 90% quarterly deliverable completion.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Increased development productivity 45% through workflow optimization; served as Scrum Master across three annual releases.</w:t>
      </w:r>
    </w:p>
    <w:p>
      <w:pPr>
        <w:tabs>
          <w:tab w:val="right" w:pos="10100"/>
        </w:tabs>
        <w:spacing w:after="40" w:before="160"/>
      </w:pPr>
      <w:r>
        <w:rPr>
          <w:rFonts w:ascii="Garamond" w:cs="Garamond" w:eastAsia="Garamond" w:hAnsi="Garamond"/>
          <w:b/>
          <w:bCs/>
          <w:i w:val="false"/>
          <w:iCs w:val="false"/>
          <w:color w:val="1A1A1A"/>
          <w:sz w:val="22"/>
          <w:szCs w:val="22"/>
        </w:rPr>
        <w:t xml:space="preserve">Senior Technical Product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Société Générale</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New York, NY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Sep 2017 – Oct 2019</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federally mandated regulatory reports six weeks ahead of schedule within a $1.5M budget.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Scaled a team from 6 to 55 — managing hiring documentation, onboarding, coverage planning, and timekeeping — realizing $800K in operational savings.</w:t>
      </w:r>
    </w:p>
    <w:p>
      <w:pPr>
        <w:spacing w:after="20" w:before="120"/>
      </w:pPr>
      <w:r>
        <w:rPr>
          <w:rFonts w:ascii="Garamond" w:cs="Garamond" w:eastAsia="Garamond" w:hAnsi="Garamond"/>
          <w:b w:val="false"/>
          <w:bCs w:val="false"/>
          <w:i w:val="false"/>
          <w:iCs w:val="false"/>
          <w:color w:val="888888"/>
          <w:sz w:val="19"/>
          <w:szCs w:val="19"/>
        </w:rPr>
        <w:t xml:space="preserve">Earlier Roles: Technical Project Manager, progressive responsibilities — Mizuho Bank, Jersey City, NJ (2016–2017)  ·  L'Oréal USA, Berkeley Heights, NJ (2015)  ·  Investors Bank, Short Hills, NJ (2013–2015)  ·  Financial Executives International, Morristown, NJ (2011–2013)</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RESEARCH &amp; SCHOLARLY ENGAGEMENT</w:t>
      </w:r>
    </w:p>
    <w:p>
      <w:pPr>
        <w:tabs>
          <w:tab w:val="right" w:pos="10100"/>
        </w:tabs>
        <w:spacing w:after="40" w:before="160"/>
      </w:pPr>
      <w:r>
        <w:rPr>
          <w:rFonts w:ascii="Garamond" w:cs="Garamond" w:eastAsia="Garamond" w:hAnsi="Garamond"/>
          <w:b/>
          <w:bCs/>
          <w:i w:val="false"/>
          <w:iCs w:val="false"/>
          <w:color w:val="1A1A1A"/>
          <w:sz w:val="22"/>
          <w:szCs w:val="22"/>
        </w:rPr>
        <w:t xml:space="preserve">Graduate Research — MBA Program</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2024 – Present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Conducted applied research on technology adoption and engagement patterns among adult learners within LMS environments, translating usage data into recommendations on platform optimization and instructional design.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Executed systematic literature reviews on digital transformation, organizational change, and student success frameworks in postsecondary education.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Developed data-informed recommendations combining quantitative platform usage with qualitative stakeholder analysis to improve how non-traditional students are supported.</w:t>
      </w:r>
    </w:p>
    <w:p>
      <w:pPr>
        <w:spacing w:after="20" w:before="120"/>
      </w:pPr>
      <w:r>
        <w:rPr>
          <w:rFonts w:ascii="Garamond" w:cs="Garamond" w:eastAsia="Garamond" w:hAnsi="Garamond"/>
          <w:b w:val="false"/>
          <w:bCs w:val="false"/>
          <w:i w:val="false"/>
          <w:iCs w:val="false"/>
          <w:color w:val="888888"/>
          <w:sz w:val="19"/>
          <w:szCs w:val="19"/>
        </w:rPr>
        <w:t xml:space="preserve">Research interests: Digital transformation in postsecondary institutions  ·  Technology adoption and engagement among adult learners  ·  Data-informed decision-making and continuous improvement  ·  Academic operations and institutional effectiveness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SKILLS &amp; SYSTEMS</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Advertising Agency &amp; Media Operations (Interpublic Group)</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Marketing Fundamentals &amp; Campaign Coordination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Digital Platform &amp; Product Management</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Front-End Development Fundamentals (General Assembly, 2025)</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Publishing &amp; Creative Production Operations (Mangu Publishers)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Academic Operations &amp; Course Lifecycle Support</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LMS &amp; Student Platforms (Canvas, Brightspace, Moodle)</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Assessment Design, Grading &amp; Feedback Workflows</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Student Inquiry Triage &amp; Advising Referral</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Syllabus, SOP &amp; Instructional Documentation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Stakeholder, Faculty &amp; Executive Communication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Data Analysis &amp; Reporting (Power BI, Tableau)</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(Agile, Scrum, Waterfall; PMP in progress)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Confidential &amp; FERPA-Sensitive Records Handling</w:t>
            </w:r>
          </w:p>
        </w:tc>
      </w:tr>
    </w:tbl>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CERTIFICATIONS &amp; AFFILIATIONS</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Institute (PMI) — NJ Chapter Member &amp; Volunteer, 2024–Present</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Software Engineering Bootcamp — General Assembly, 2025</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Goode Education Group — Clean Energy Program Fellow, 2024</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Building Science Principles — Building Performance Institute</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ADDITIONAL</w:t>
      </w:r>
    </w:p>
    <w:p>
      <w:pPr>
        <w:spacing w:after="20" w:before="100"/>
      </w:pPr>
      <w:r>
        <w:rPr>
          <w:rFonts w:ascii="Garamond" w:cs="Garamond" w:eastAsia="Garamond" w:hAnsi="Garamond"/>
          <w:b w:val="false"/>
          <w:bCs w:val="false"/>
          <w:i w:val="false"/>
          <w:iCs w:val="false"/>
          <w:color w:val="555555"/>
          <w:sz w:val="19"/>
          <w:szCs w:val="19"/>
        </w:rPr>
        <w:t xml:space="preserve">Martial Arts — Jeet Kune Do (Fist of Interception Institute), Level 3 student under Vincent Benitez</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2026-08-14T04:44:38.700Z</dcterms:created>
  <dcterms:modified xsi:type="dcterms:W3CDTF">2026-08-14T04:44:38.701Z</dcterms:modified>
</cp:coreProperties>
</file>

<file path=docProps/custom.xml><?xml version="1.0" encoding="utf-8"?>
<Properties xmlns="http://schemas.openxmlformats.org/officeDocument/2006/custom-properties" xmlns:vt="http://schemas.openxmlformats.org/officeDocument/2006/docPropsVTypes"/>
</file>