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Academic Course Support &amp; Departmental Operations  ·  Incoming Seton Hall Doctoral Student</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Higher education professional and incoming Seton Hall doctoral student with hands-on experience across the full course lifecycle — LMS administration in Canvas and Brightspace, section setup, enrollment monitoring, textbook and materials procurement, assessment design, grading workflows, and academic records maintenance for two courses enrolling 200+ students per semester. Currently completing an MBA in Organizational Management with a 3.87 GPA.</w:t>
      </w:r>
    </w:p>
    <w:p>
      <w:pPr>
        <w:spacing w:after="60" w:before="100"/>
      </w:pPr>
      <w:r>
        <w:rPr>
          <w:rFonts w:ascii="Garamond" w:cs="Garamond" w:eastAsia="Garamond" w:hAnsi="Garamond"/>
          <w:b w:val="false"/>
          <w:bCs w:val="false"/>
          <w:i w:val="false"/>
          <w:iCs w:val="false"/>
          <w:color w:val="555555"/>
          <w:sz w:val="20"/>
          <w:szCs w:val="20"/>
        </w:rPr>
        <w:t xml:space="preserve">Thirteen-plus years of operations and program management supporting that work, including budget oversight, vendor coordination, and event and program logistics. Handles student records and performance data with strict confidentiality, and uses trend analysis to surface students at academic risk early enough for faculty to act.</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(200+ students per semester) — LMS administration (Canvas / Brightspace), section setup, enrollment monitoring, textbook procurement, and academic records maintenance.</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within LMS environments, informing recommendations on institutional effectiveness and platform optimization.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organizational change, digital transformation, and student success frameworks in postsecondary education.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policy recommendations combining quantitative usage data with qualitative stakeholder analysis to improve support delivery for non-traditional students.</w:t>
      </w:r>
    </w:p>
    <w:p>
      <w:pPr>
        <w:spacing w:after="20" w:before="120"/>
      </w:pPr>
      <w:r>
        <w:rPr>
          <w:rFonts w:ascii="Garamond" w:cs="Garamond" w:eastAsia="Garamond" w:hAnsi="Garamond"/>
          <w:b w:val="false"/>
          <w:bCs w:val="false"/>
          <w:i w:val="false"/>
          <w:iCs w:val="false"/>
          <w:color w:val="888888"/>
          <w:sz w:val="19"/>
          <w:szCs w:val="19"/>
        </w:rPr>
        <w:t xml:space="preserve">Research interests: Academic operations and institutional effectiveness  ·  Student persistence and early academic-risk identification  ·  Data-informed decision-making and continuous improvement  ·  Digital transformation in postsecondary institutions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Academic Operations &amp; Course Lifecycle Support</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One-on-One Student Support &amp; Inquiry Triage</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LMS &amp; Student Platforms (Canvas, Brightspace, Moodle)</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Assessment Design, Grading &amp; Academic Progress Monitoring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Recital, Event &amp; Program Coordination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Textbook &amp; Instructional Materials Procurement</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Budget Oversight &amp; Vendor Coordination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Stakeholder, Faculty &amp; Executive Communication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SOPs, Trackers &amp; Process Documentation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&amp; Reporting (Power BI, Tableau)</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Applied Institutional Analytics &amp; Research Design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Microsoft 365, SharePoint, Excel, Teams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(Agile, Scrum, Waterfall; PMP in progress)</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